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DC" w:rsidRPr="00D15E1B" w:rsidRDefault="00A34AE3" w:rsidP="004F586C">
      <w:pPr>
        <w:jc w:val="center"/>
        <w:rPr>
          <w:b/>
          <w:sz w:val="24"/>
          <w:szCs w:val="24"/>
        </w:rPr>
      </w:pPr>
      <w:r>
        <w:rPr>
          <w:b/>
          <w:sz w:val="24"/>
          <w:szCs w:val="24"/>
        </w:rPr>
        <w:t xml:space="preserve">Meer </w:t>
      </w:r>
      <w:r w:rsidRPr="00D15E1B">
        <w:rPr>
          <w:b/>
          <w:sz w:val="24"/>
          <w:szCs w:val="24"/>
        </w:rPr>
        <w:t xml:space="preserve">fruit </w:t>
      </w:r>
      <w:r>
        <w:rPr>
          <w:b/>
          <w:sz w:val="24"/>
          <w:szCs w:val="24"/>
        </w:rPr>
        <w:t xml:space="preserve">maar minder </w:t>
      </w:r>
      <w:r w:rsidR="004F586C" w:rsidRPr="00D15E1B">
        <w:rPr>
          <w:b/>
          <w:sz w:val="24"/>
          <w:szCs w:val="24"/>
        </w:rPr>
        <w:t xml:space="preserve">groenten </w:t>
      </w:r>
      <w:r w:rsidR="00DD5650">
        <w:rPr>
          <w:b/>
          <w:sz w:val="24"/>
          <w:szCs w:val="24"/>
        </w:rPr>
        <w:t xml:space="preserve">thuis </w:t>
      </w:r>
      <w:r>
        <w:rPr>
          <w:b/>
          <w:sz w:val="24"/>
          <w:szCs w:val="24"/>
        </w:rPr>
        <w:t xml:space="preserve">geconsumeerd in </w:t>
      </w:r>
      <w:r w:rsidR="004F586C" w:rsidRPr="00D15E1B">
        <w:rPr>
          <w:b/>
          <w:sz w:val="24"/>
          <w:szCs w:val="24"/>
        </w:rPr>
        <w:t>201</w:t>
      </w:r>
      <w:r w:rsidR="00124568">
        <w:rPr>
          <w:b/>
          <w:sz w:val="24"/>
          <w:szCs w:val="24"/>
        </w:rPr>
        <w:t>7</w:t>
      </w:r>
    </w:p>
    <w:p w:rsidR="00AE6D42" w:rsidRPr="00D15E1B" w:rsidRDefault="00AE6D42" w:rsidP="002F42AC">
      <w:pPr>
        <w:spacing w:before="240" w:after="120"/>
        <w:rPr>
          <w:b/>
          <w:i/>
        </w:rPr>
      </w:pPr>
      <w:r w:rsidRPr="00D15E1B">
        <w:rPr>
          <w:b/>
          <w:i/>
        </w:rPr>
        <w:t xml:space="preserve">De gemiddelde Belg kocht </w:t>
      </w:r>
      <w:r w:rsidR="00124568">
        <w:rPr>
          <w:b/>
          <w:i/>
        </w:rPr>
        <w:t>vorig jaar 38</w:t>
      </w:r>
      <w:r w:rsidRPr="00D15E1B">
        <w:rPr>
          <w:b/>
          <w:i/>
        </w:rPr>
        <w:t xml:space="preserve"> kg </w:t>
      </w:r>
      <w:r w:rsidR="00826A45" w:rsidRPr="00D15E1B">
        <w:rPr>
          <w:b/>
          <w:i/>
        </w:rPr>
        <w:t>verse groenten</w:t>
      </w:r>
      <w:r w:rsidR="00124568">
        <w:rPr>
          <w:b/>
          <w:i/>
        </w:rPr>
        <w:t xml:space="preserve"> of 1 kg minder dan in 2016</w:t>
      </w:r>
      <w:r w:rsidR="00826A45" w:rsidRPr="00D15E1B">
        <w:rPr>
          <w:b/>
          <w:i/>
        </w:rPr>
        <w:t xml:space="preserve">. </w:t>
      </w:r>
      <w:r w:rsidR="00124568" w:rsidRPr="00124568">
        <w:rPr>
          <w:b/>
          <w:i/>
        </w:rPr>
        <w:t>Door een hogere gemi</w:t>
      </w:r>
      <w:bookmarkStart w:id="0" w:name="_GoBack"/>
      <w:bookmarkEnd w:id="0"/>
      <w:r w:rsidR="00124568" w:rsidRPr="00124568">
        <w:rPr>
          <w:b/>
          <w:i/>
        </w:rPr>
        <w:t>ddelde groenteprijs bleven de bestedingen op peil</w:t>
      </w:r>
      <w:r w:rsidR="00124568">
        <w:rPr>
          <w:b/>
          <w:i/>
        </w:rPr>
        <w:t xml:space="preserve">. </w:t>
      </w:r>
      <w:bookmarkStart w:id="1" w:name="_Hlk510101243"/>
      <w:r w:rsidR="00826A45" w:rsidRPr="00D15E1B">
        <w:rPr>
          <w:b/>
          <w:i/>
        </w:rPr>
        <w:t xml:space="preserve">Het thuisverbruik van fruit </w:t>
      </w:r>
      <w:r w:rsidR="00124568">
        <w:rPr>
          <w:b/>
          <w:i/>
        </w:rPr>
        <w:t>steeg</w:t>
      </w:r>
      <w:r w:rsidR="00826A45" w:rsidRPr="00D15E1B">
        <w:rPr>
          <w:b/>
          <w:i/>
        </w:rPr>
        <w:t xml:space="preserve"> licht </w:t>
      </w:r>
      <w:r w:rsidR="00124568">
        <w:rPr>
          <w:b/>
          <w:i/>
        </w:rPr>
        <w:t>van</w:t>
      </w:r>
      <w:r w:rsidR="00826A45" w:rsidRPr="00D15E1B">
        <w:rPr>
          <w:b/>
          <w:i/>
        </w:rPr>
        <w:t xml:space="preserve"> 46,6 </w:t>
      </w:r>
      <w:r w:rsidR="00124568">
        <w:rPr>
          <w:b/>
          <w:i/>
        </w:rPr>
        <w:t xml:space="preserve">naar 47 </w:t>
      </w:r>
      <w:r w:rsidR="00826A45" w:rsidRPr="00D15E1B">
        <w:rPr>
          <w:b/>
          <w:i/>
        </w:rPr>
        <w:t>kg per capita</w:t>
      </w:r>
      <w:bookmarkEnd w:id="1"/>
      <w:r w:rsidR="00826A45" w:rsidRPr="00D15E1B">
        <w:rPr>
          <w:b/>
          <w:i/>
        </w:rPr>
        <w:t>.</w:t>
      </w:r>
      <w:r w:rsidR="00124568" w:rsidRPr="00124568">
        <w:t xml:space="preserve"> </w:t>
      </w:r>
      <w:r w:rsidR="00124568" w:rsidRPr="00124568">
        <w:rPr>
          <w:b/>
          <w:i/>
        </w:rPr>
        <w:t xml:space="preserve">Vers fruit was vorig jaar 4% duurder </w:t>
      </w:r>
      <w:r w:rsidR="00124568">
        <w:rPr>
          <w:b/>
          <w:i/>
        </w:rPr>
        <w:t>waardoor</w:t>
      </w:r>
      <w:r w:rsidR="00124568" w:rsidRPr="00124568">
        <w:rPr>
          <w:b/>
          <w:i/>
        </w:rPr>
        <w:t xml:space="preserve"> de fruitbestedingen 5% hoger uit</w:t>
      </w:r>
      <w:r w:rsidR="00124568">
        <w:rPr>
          <w:b/>
          <w:i/>
        </w:rPr>
        <w:t>kwamen</w:t>
      </w:r>
      <w:r w:rsidR="00124568" w:rsidRPr="00124568">
        <w:rPr>
          <w:b/>
          <w:i/>
        </w:rPr>
        <w:t>.</w:t>
      </w:r>
      <w:r w:rsidR="007113F7">
        <w:rPr>
          <w:b/>
          <w:i/>
        </w:rPr>
        <w:t xml:space="preserve"> </w:t>
      </w:r>
      <w:r w:rsidR="00826A45" w:rsidRPr="00D15E1B">
        <w:rPr>
          <w:b/>
          <w:i/>
        </w:rPr>
        <w:t xml:space="preserve">Door de </w:t>
      </w:r>
      <w:r w:rsidR="00124568">
        <w:rPr>
          <w:b/>
          <w:i/>
        </w:rPr>
        <w:t xml:space="preserve">inflatie en de </w:t>
      </w:r>
      <w:r w:rsidR="00826A45" w:rsidRPr="00D15E1B">
        <w:rPr>
          <w:b/>
          <w:i/>
        </w:rPr>
        <w:t xml:space="preserve">hogere gemiddelde prijs van groenten en fruit steeg de besteding </w:t>
      </w:r>
      <w:r w:rsidR="007113F7">
        <w:rPr>
          <w:b/>
          <w:i/>
        </w:rPr>
        <w:t>van de totale categorie van 212 naar 219</w:t>
      </w:r>
      <w:r w:rsidR="00826A45" w:rsidRPr="00D15E1B">
        <w:rPr>
          <w:b/>
          <w:i/>
        </w:rPr>
        <w:t xml:space="preserve"> euro per capita. </w:t>
      </w:r>
      <w:r w:rsidR="007113F7">
        <w:rPr>
          <w:b/>
          <w:i/>
        </w:rPr>
        <w:br/>
      </w:r>
      <w:r w:rsidR="00963C88">
        <w:rPr>
          <w:b/>
          <w:i/>
        </w:rPr>
        <w:t xml:space="preserve">De </w:t>
      </w:r>
      <w:proofErr w:type="spellStart"/>
      <w:r w:rsidR="00963C88">
        <w:rPr>
          <w:b/>
          <w:i/>
        </w:rPr>
        <w:t>biogroenten</w:t>
      </w:r>
      <w:proofErr w:type="spellEnd"/>
      <w:r w:rsidR="00963C88">
        <w:rPr>
          <w:b/>
          <w:i/>
        </w:rPr>
        <w:t xml:space="preserve"> en -fruit wonnen vorig jaar terrein maar de groei vlakt af.</w:t>
      </w:r>
      <w:r w:rsidR="00963C88">
        <w:rPr>
          <w:b/>
          <w:i/>
        </w:rPr>
        <w:br/>
      </w:r>
      <w:r w:rsidR="00DD5650" w:rsidRPr="00DD5650">
        <w:rPr>
          <w:b/>
          <w:i/>
        </w:rPr>
        <w:t>De nummer één in de groe</w:t>
      </w:r>
      <w:r w:rsidR="00E8661B">
        <w:rPr>
          <w:b/>
          <w:i/>
        </w:rPr>
        <w:t>n</w:t>
      </w:r>
      <w:r w:rsidR="00DD5650" w:rsidRPr="00DD5650">
        <w:rPr>
          <w:b/>
          <w:i/>
        </w:rPr>
        <w:t>tekorf blijft ‘de tomaat’</w:t>
      </w:r>
      <w:r w:rsidR="00E8661B">
        <w:rPr>
          <w:b/>
          <w:i/>
        </w:rPr>
        <w:t>,</w:t>
      </w:r>
      <w:r w:rsidR="00DD5650" w:rsidRPr="00DD5650">
        <w:rPr>
          <w:b/>
          <w:i/>
        </w:rPr>
        <w:t xml:space="preserve"> op de voet gevolgd door de wortel. Binnen de top tien wonnen enkel paprika en champignons terrein</w:t>
      </w:r>
      <w:r w:rsidR="00826A45" w:rsidRPr="00D15E1B">
        <w:rPr>
          <w:b/>
          <w:i/>
        </w:rPr>
        <w:t xml:space="preserve">. </w:t>
      </w:r>
      <w:r w:rsidR="00DD5650" w:rsidRPr="00DD5650">
        <w:rPr>
          <w:b/>
          <w:i/>
        </w:rPr>
        <w:t>De nummer één in de fruitkorf</w:t>
      </w:r>
      <w:r w:rsidR="00E8661B">
        <w:rPr>
          <w:b/>
          <w:i/>
        </w:rPr>
        <w:t>,</w:t>
      </w:r>
      <w:r w:rsidR="00DD5650" w:rsidRPr="00DD5650">
        <w:rPr>
          <w:b/>
          <w:i/>
        </w:rPr>
        <w:t xml:space="preserve"> de appel, met Jonagold op kop</w:t>
      </w:r>
      <w:r w:rsidR="00E8661B">
        <w:rPr>
          <w:b/>
          <w:i/>
        </w:rPr>
        <w:t>,</w:t>
      </w:r>
      <w:r w:rsidR="00DD5650" w:rsidRPr="00DD5650">
        <w:rPr>
          <w:b/>
          <w:i/>
        </w:rPr>
        <w:t xml:space="preserve"> die fors duurder was, kon zich qua volume niet handhaven en verloor verder marktaandeel aan vooral de bananen</w:t>
      </w:r>
      <w:r w:rsidR="00826A45" w:rsidRPr="00D15E1B">
        <w:rPr>
          <w:b/>
          <w:i/>
        </w:rPr>
        <w:t xml:space="preserve">. </w:t>
      </w:r>
      <w:r w:rsidR="00DD5650" w:rsidRPr="00DD5650">
        <w:rPr>
          <w:b/>
          <w:i/>
        </w:rPr>
        <w:t>De aardbeien kenden een goed jaar en stegen zowel in volume als in besteding</w:t>
      </w:r>
      <w:r w:rsidR="00DD5650">
        <w:rPr>
          <w:b/>
          <w:i/>
        </w:rPr>
        <w:t>.</w:t>
      </w:r>
      <w:r w:rsidR="00DD5650">
        <w:rPr>
          <w:b/>
          <w:i/>
        </w:rPr>
        <w:br/>
      </w:r>
      <w:r w:rsidR="00DD5650" w:rsidRPr="00DD5650">
        <w:rPr>
          <w:b/>
          <w:i/>
        </w:rPr>
        <w:t>Qua distributie was er weinig verandering. ‘</w:t>
      </w:r>
      <w:r w:rsidR="00DB5041">
        <w:rPr>
          <w:b/>
          <w:i/>
        </w:rPr>
        <w:t>DIS</w:t>
      </w:r>
      <w:r w:rsidR="00DD5650" w:rsidRPr="00DD5650">
        <w:rPr>
          <w:b/>
          <w:i/>
        </w:rPr>
        <w:t xml:space="preserve"> 1’ daalde lichtjes van 49 naar 48% marktaandeel en blijft een stevige marktleider gevolgd door hard discount met 24%. Op de derde plaats steeg de buurtsupermarkt van 14 naar 16% marktaandeel</w:t>
      </w:r>
      <w:r w:rsidR="002F42AC" w:rsidRPr="00D15E1B">
        <w:rPr>
          <w:b/>
          <w:i/>
        </w:rPr>
        <w:t xml:space="preserve">. </w:t>
      </w:r>
      <w:r w:rsidR="00DD5650">
        <w:rPr>
          <w:b/>
          <w:i/>
        </w:rPr>
        <w:br/>
      </w:r>
      <w:r w:rsidR="002F42AC" w:rsidRPr="00D15E1B">
        <w:rPr>
          <w:b/>
          <w:i/>
        </w:rPr>
        <w:t xml:space="preserve">Dat </w:t>
      </w:r>
      <w:r w:rsidR="00060D0E">
        <w:rPr>
          <w:b/>
          <w:i/>
        </w:rPr>
        <w:t xml:space="preserve">alles </w:t>
      </w:r>
      <w:r w:rsidR="00184E77" w:rsidRPr="00D15E1B">
        <w:rPr>
          <w:b/>
          <w:i/>
        </w:rPr>
        <w:t xml:space="preserve">leert VLAM uit de cijfers </w:t>
      </w:r>
      <w:r w:rsidR="002F42AC" w:rsidRPr="00D15E1B">
        <w:rPr>
          <w:b/>
          <w:i/>
        </w:rPr>
        <w:t xml:space="preserve">die het marktonderzoeksbureau GfK Belgium via </w:t>
      </w:r>
      <w:r w:rsidR="00CE2522">
        <w:rPr>
          <w:b/>
          <w:i/>
        </w:rPr>
        <w:t>zijn</w:t>
      </w:r>
      <w:r w:rsidR="002F42AC" w:rsidRPr="00D15E1B">
        <w:rPr>
          <w:b/>
          <w:i/>
        </w:rPr>
        <w:t xml:space="preserve"> panel van </w:t>
      </w:r>
      <w:r w:rsidR="00184E77" w:rsidRPr="00D15E1B">
        <w:rPr>
          <w:b/>
          <w:i/>
        </w:rPr>
        <w:t xml:space="preserve">5.000 Belgische gezinnen </w:t>
      </w:r>
      <w:r w:rsidR="002F42AC" w:rsidRPr="00D15E1B">
        <w:rPr>
          <w:b/>
          <w:i/>
        </w:rPr>
        <w:t>verzamelde.</w:t>
      </w:r>
      <w:r w:rsidR="00E8661B">
        <w:rPr>
          <w:b/>
          <w:i/>
        </w:rPr>
        <w:t xml:space="preserve"> De cijfers hebben enkel betrekking op thuisverbruik.</w:t>
      </w:r>
    </w:p>
    <w:p w:rsidR="004F586C" w:rsidRPr="00D15E1B" w:rsidRDefault="007113F7" w:rsidP="000B7F84">
      <w:pPr>
        <w:spacing w:before="360" w:after="120"/>
        <w:rPr>
          <w:b/>
        </w:rPr>
      </w:pPr>
      <w:r>
        <w:rPr>
          <w:b/>
        </w:rPr>
        <w:t xml:space="preserve">Licht dalend </w:t>
      </w:r>
      <w:r w:rsidR="006E2878" w:rsidRPr="00D15E1B">
        <w:rPr>
          <w:b/>
        </w:rPr>
        <w:t xml:space="preserve">thuisverbruik voor </w:t>
      </w:r>
      <w:r w:rsidR="004F586C" w:rsidRPr="00D15E1B">
        <w:rPr>
          <w:b/>
        </w:rPr>
        <w:t>groente</w:t>
      </w:r>
      <w:r w:rsidR="006E2878" w:rsidRPr="00D15E1B">
        <w:rPr>
          <w:b/>
        </w:rPr>
        <w:t>n</w:t>
      </w:r>
    </w:p>
    <w:p w:rsidR="004F586C" w:rsidRPr="00D15E1B" w:rsidRDefault="007113F7">
      <w:r>
        <w:t xml:space="preserve">De aankopen </w:t>
      </w:r>
      <w:r w:rsidR="004F586C" w:rsidRPr="00D15E1B">
        <w:t xml:space="preserve">van verse groenten </w:t>
      </w:r>
      <w:r>
        <w:t>voor thuisverbruik schommel</w:t>
      </w:r>
      <w:r w:rsidR="00E8661B">
        <w:t>en</w:t>
      </w:r>
      <w:r>
        <w:t xml:space="preserve"> sinds 2008 tussen de 39 en 40 kg per capita maar daalde</w:t>
      </w:r>
      <w:r w:rsidR="00E8661B">
        <w:t>n</w:t>
      </w:r>
      <w:r>
        <w:t xml:space="preserve"> vorig jaar met 1 kg tot 38,1</w:t>
      </w:r>
      <w:r w:rsidR="004F586C" w:rsidRPr="00D15E1B">
        <w:t xml:space="preserve"> kg. </w:t>
      </w:r>
      <w:r w:rsidR="00DE5998" w:rsidRPr="00D15E1B">
        <w:t>Door een stijging van de gemiddelde prijs van 2,</w:t>
      </w:r>
      <w:r w:rsidR="00E15989">
        <w:t>44</w:t>
      </w:r>
      <w:r w:rsidR="00DE5998" w:rsidRPr="00D15E1B">
        <w:t xml:space="preserve"> euro per kg in 201</w:t>
      </w:r>
      <w:r w:rsidR="00776B7F">
        <w:t>6</w:t>
      </w:r>
      <w:r w:rsidR="00DE5998" w:rsidRPr="00D15E1B">
        <w:t xml:space="preserve"> naar 2,</w:t>
      </w:r>
      <w:r w:rsidR="00E15989">
        <w:t>51</w:t>
      </w:r>
      <w:r w:rsidR="00DE5998" w:rsidRPr="00D15E1B">
        <w:t xml:space="preserve"> euro in 201</w:t>
      </w:r>
      <w:r w:rsidR="00E15989">
        <w:t>7</w:t>
      </w:r>
      <w:r w:rsidR="00DE5998" w:rsidRPr="00D15E1B">
        <w:t xml:space="preserve"> </w:t>
      </w:r>
      <w:r w:rsidR="00E15989">
        <w:t>ble</w:t>
      </w:r>
      <w:r w:rsidR="00E8661B">
        <w:t>ef</w:t>
      </w:r>
      <w:r w:rsidR="00E15989">
        <w:t xml:space="preserve"> de groente</w:t>
      </w:r>
      <w:r w:rsidR="00DE5998" w:rsidRPr="00D15E1B">
        <w:t>besteding met 95,</w:t>
      </w:r>
      <w:r w:rsidR="00E15989">
        <w:t>69</w:t>
      </w:r>
      <w:r w:rsidR="00DE5998" w:rsidRPr="00D15E1B">
        <w:t xml:space="preserve"> euro per capita</w:t>
      </w:r>
      <w:r w:rsidR="00E15989">
        <w:t xml:space="preserve"> wel op peil</w:t>
      </w:r>
      <w:r w:rsidR="00DE5998" w:rsidRPr="00D15E1B">
        <w:t xml:space="preserve">. </w:t>
      </w:r>
      <w:r w:rsidR="005F61F8" w:rsidRPr="00D15E1B">
        <w:t>Nagenoeg alle Belgische g</w:t>
      </w:r>
      <w:r w:rsidR="008250F9" w:rsidRPr="00D15E1B">
        <w:t>ezinnen kopen verse groenten. Z</w:t>
      </w:r>
      <w:r w:rsidR="005F61F8" w:rsidRPr="00D15E1B">
        <w:t>e doen dit gemiddeld 5</w:t>
      </w:r>
      <w:r w:rsidR="00E15989">
        <w:t>7</w:t>
      </w:r>
      <w:r w:rsidR="005F61F8" w:rsidRPr="00D15E1B">
        <w:t xml:space="preserve"> keer per jaar</w:t>
      </w:r>
      <w:r w:rsidR="00E15989">
        <w:t xml:space="preserve"> of één keer minder dan in 2016</w:t>
      </w:r>
      <w:r w:rsidR="005F61F8" w:rsidRPr="00D15E1B">
        <w:t xml:space="preserve">. </w:t>
      </w:r>
      <w:r w:rsidR="00672824" w:rsidRPr="00D15E1B">
        <w:t>Vlamingen en gezinnen uit de hogere sociale groep kopen in verhouding meer verse groenten dan Walen en gezinnen uit de middelste en lagere sociale groep.</w:t>
      </w:r>
      <w:r w:rsidR="00E15989">
        <w:t xml:space="preserve"> Het verschil </w:t>
      </w:r>
      <w:r w:rsidR="00DB1FB9">
        <w:t xml:space="preserve">in bestedingen tussen de hogere en de lagere sociale klasse </w:t>
      </w:r>
      <w:r w:rsidR="00E15989">
        <w:t>werd vorig jaar groter</w:t>
      </w:r>
      <w:r w:rsidR="00DB1FB9">
        <w:t>.</w:t>
      </w:r>
    </w:p>
    <w:p w:rsidR="008250F9" w:rsidRPr="00D15E1B" w:rsidRDefault="008250F9" w:rsidP="008250F9">
      <w:pPr>
        <w:spacing w:after="0"/>
        <w:jc w:val="center"/>
      </w:pPr>
      <w:r w:rsidRPr="00D15E1B">
        <w:rPr>
          <w:noProof/>
          <w:lang w:eastAsia="nl-BE"/>
        </w:rPr>
        <w:drawing>
          <wp:inline distT="0" distB="0" distL="0" distR="0">
            <wp:extent cx="3857625" cy="2266950"/>
            <wp:effectExtent l="0" t="0" r="9525"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250F9" w:rsidRPr="00D15E1B" w:rsidRDefault="008250F9" w:rsidP="008250F9">
      <w:pPr>
        <w:ind w:left="1276"/>
        <w:rPr>
          <w:i/>
        </w:rPr>
      </w:pPr>
      <w:r w:rsidRPr="00D15E1B">
        <w:rPr>
          <w:i/>
        </w:rPr>
        <w:t>Bron: GfK Belgium</w:t>
      </w:r>
    </w:p>
    <w:p w:rsidR="006E175B" w:rsidRPr="00D15E1B" w:rsidRDefault="00C708E0" w:rsidP="00C708E0">
      <w:bookmarkStart w:id="2" w:name="_Hlk510170203"/>
      <w:r w:rsidRPr="00D15E1B">
        <w:t xml:space="preserve">Binnen het </w:t>
      </w:r>
      <w:proofErr w:type="spellStart"/>
      <w:r w:rsidRPr="00D15E1B">
        <w:t>versegroentesegment</w:t>
      </w:r>
      <w:proofErr w:type="spellEnd"/>
      <w:r w:rsidRPr="00D15E1B">
        <w:t xml:space="preserve"> stijgen de voorverpakte v</w:t>
      </w:r>
      <w:r w:rsidR="008A6AB1">
        <w:t>e</w:t>
      </w:r>
      <w:r w:rsidRPr="00D15E1B">
        <w:t>rwerkte groenten verder door van 3,</w:t>
      </w:r>
      <w:r w:rsidR="00DB1FB9">
        <w:t>6</w:t>
      </w:r>
      <w:r w:rsidRPr="00D15E1B">
        <w:t xml:space="preserve"> kg per capita in 201</w:t>
      </w:r>
      <w:r w:rsidR="00DB1FB9">
        <w:t>6</w:t>
      </w:r>
      <w:r w:rsidRPr="00D15E1B">
        <w:t xml:space="preserve"> naar 3,</w:t>
      </w:r>
      <w:r w:rsidR="00DB1FB9">
        <w:t>7</w:t>
      </w:r>
      <w:r w:rsidRPr="00D15E1B">
        <w:t xml:space="preserve"> kg in 201</w:t>
      </w:r>
      <w:r w:rsidR="00DB1FB9">
        <w:t>7</w:t>
      </w:r>
      <w:r w:rsidRPr="00D15E1B">
        <w:t xml:space="preserve">. Hiermee </w:t>
      </w:r>
      <w:r w:rsidR="00DA7A42">
        <w:t>heeft dit segment</w:t>
      </w:r>
      <w:r w:rsidRPr="00D15E1B">
        <w:t xml:space="preserve"> een aandeel van </w:t>
      </w:r>
      <w:r w:rsidR="000A46ED">
        <w:t>10</w:t>
      </w:r>
      <w:r w:rsidRPr="00D15E1B">
        <w:t>% in volume en 1</w:t>
      </w:r>
      <w:r w:rsidR="000A46ED">
        <w:t>7</w:t>
      </w:r>
      <w:r w:rsidRPr="00D15E1B">
        <w:t>% in bestedingen</w:t>
      </w:r>
      <w:bookmarkEnd w:id="2"/>
      <w:r w:rsidRPr="00D15E1B">
        <w:t>.</w:t>
      </w:r>
      <w:r w:rsidR="006E175B">
        <w:t xml:space="preserve"> </w:t>
      </w:r>
      <w:r w:rsidR="006E175B">
        <w:br/>
        <w:t xml:space="preserve">De </w:t>
      </w:r>
      <w:proofErr w:type="spellStart"/>
      <w:r w:rsidR="006E175B">
        <w:t>biogroenten</w:t>
      </w:r>
      <w:proofErr w:type="spellEnd"/>
      <w:r w:rsidR="006E175B">
        <w:t xml:space="preserve"> </w:t>
      </w:r>
      <w:r w:rsidR="00963C88">
        <w:t>groeiden vorig jaar minder sterk dan de jaren voordien.</w:t>
      </w:r>
      <w:r w:rsidR="006E175B">
        <w:t xml:space="preserve"> Twee derde van de Belgen koopt al eens </w:t>
      </w:r>
      <w:proofErr w:type="spellStart"/>
      <w:r w:rsidR="006E175B">
        <w:t>biogroenten</w:t>
      </w:r>
      <w:proofErr w:type="spellEnd"/>
      <w:r w:rsidR="006E175B">
        <w:t xml:space="preserve">. </w:t>
      </w:r>
      <w:r w:rsidR="00B85310">
        <w:t xml:space="preserve">De Belg koopt gemiddeld 1,8 kg </w:t>
      </w:r>
      <w:proofErr w:type="spellStart"/>
      <w:r w:rsidR="00B85310">
        <w:t>biogroenten</w:t>
      </w:r>
      <w:proofErr w:type="spellEnd"/>
      <w:r w:rsidR="00B85310">
        <w:t xml:space="preserve"> per jaar.</w:t>
      </w:r>
      <w:r w:rsidR="006E175B">
        <w:t xml:space="preserve"> </w:t>
      </w:r>
    </w:p>
    <w:p w:rsidR="006E2878" w:rsidRPr="00D15E1B" w:rsidRDefault="006E2878" w:rsidP="000B7F84">
      <w:pPr>
        <w:spacing w:before="360" w:after="120"/>
        <w:rPr>
          <w:b/>
        </w:rPr>
      </w:pPr>
      <w:r w:rsidRPr="00D15E1B">
        <w:rPr>
          <w:b/>
        </w:rPr>
        <w:lastRenderedPageBreak/>
        <w:t xml:space="preserve">Licht </w:t>
      </w:r>
      <w:r w:rsidR="003E615B">
        <w:rPr>
          <w:b/>
        </w:rPr>
        <w:t>stijgend</w:t>
      </w:r>
      <w:r w:rsidRPr="00D15E1B">
        <w:rPr>
          <w:b/>
        </w:rPr>
        <w:t xml:space="preserve"> thuisverbruik van fruit</w:t>
      </w:r>
    </w:p>
    <w:p w:rsidR="006E175B" w:rsidRDefault="000A46ED" w:rsidP="006E2878">
      <w:r w:rsidRPr="000A46ED">
        <w:t>Het thuisverbruik van fruit steeg licht van 46,6 naar 47 kg per capita</w:t>
      </w:r>
      <w:r w:rsidR="001A034A" w:rsidRPr="00D15E1B">
        <w:t xml:space="preserve">. </w:t>
      </w:r>
      <w:r w:rsidRPr="000A46ED">
        <w:t>Vers fruit was vorig jaar 4% duurder waardoor de fruitbestedingen 5% hoger uitkwamen</w:t>
      </w:r>
      <w:r>
        <w:t>. De Belg besteedde vorig jaar gemiddeld</w:t>
      </w:r>
      <w:r w:rsidR="001A034A" w:rsidRPr="00D15E1B">
        <w:t xml:space="preserve"> </w:t>
      </w:r>
      <w:r>
        <w:t>122</w:t>
      </w:r>
      <w:r w:rsidR="001A034A" w:rsidRPr="00D15E1B">
        <w:t>,7</w:t>
      </w:r>
      <w:r>
        <w:t>6</w:t>
      </w:r>
      <w:r w:rsidR="001A034A" w:rsidRPr="00D15E1B">
        <w:t xml:space="preserve"> euro </w:t>
      </w:r>
      <w:r>
        <w:t xml:space="preserve">aan deze categorie. </w:t>
      </w:r>
      <w:r w:rsidR="00E8661B">
        <w:t>Net z</w:t>
      </w:r>
      <w:r>
        <w:t>oals voor groenten koopt</w:t>
      </w:r>
      <w:r w:rsidR="006B79E8">
        <w:t xml:space="preserve"> bijna </w:t>
      </w:r>
      <w:r>
        <w:t xml:space="preserve">elk Belgisch gezin fruit en </w:t>
      </w:r>
      <w:r w:rsidR="00E8661B">
        <w:t>dit gebeurt</w:t>
      </w:r>
      <w:r>
        <w:t xml:space="preserve"> </w:t>
      </w:r>
      <w:r w:rsidR="006B79E8">
        <w:t>gemiddeld</w:t>
      </w:r>
      <w:r w:rsidR="001A034A" w:rsidRPr="00D15E1B">
        <w:t xml:space="preserve"> 5</w:t>
      </w:r>
      <w:r w:rsidR="006B79E8">
        <w:t>2</w:t>
      </w:r>
      <w:r w:rsidR="001A034A" w:rsidRPr="00D15E1B">
        <w:t xml:space="preserve"> keer per jaar</w:t>
      </w:r>
      <w:r w:rsidR="006B79E8">
        <w:t xml:space="preserve"> of met andere woorden wekelijks.</w:t>
      </w:r>
      <w:r w:rsidR="001A034A" w:rsidRPr="00D15E1B">
        <w:t xml:space="preserve"> </w:t>
      </w:r>
      <w:r w:rsidR="00BB3212" w:rsidRPr="00D15E1B">
        <w:t xml:space="preserve">Vlaamse </w:t>
      </w:r>
      <w:r w:rsidR="00EC46B6" w:rsidRPr="00D15E1B">
        <w:t>huishoudens</w:t>
      </w:r>
      <w:r w:rsidR="00BB3212" w:rsidRPr="00D15E1B">
        <w:t xml:space="preserve"> zijn grotere fruitkopers dan Waalse </w:t>
      </w:r>
      <w:r w:rsidR="00EC46B6" w:rsidRPr="00D15E1B">
        <w:t>en oudere huishoudens grotere dan jongere.</w:t>
      </w:r>
      <w:r w:rsidR="006E175B">
        <w:t xml:space="preserve"> </w:t>
      </w:r>
      <w:r w:rsidR="004305B3">
        <w:br/>
        <w:t>De helft van de</w:t>
      </w:r>
      <w:r w:rsidR="00B85310">
        <w:t xml:space="preserve"> Belgen kopen</w:t>
      </w:r>
      <w:r w:rsidR="004305B3">
        <w:t xml:space="preserve"> al eens</w:t>
      </w:r>
      <w:r w:rsidR="00B85310">
        <w:t xml:space="preserve"> </w:t>
      </w:r>
      <w:proofErr w:type="spellStart"/>
      <w:r w:rsidR="006E175B">
        <w:t>biofruit</w:t>
      </w:r>
      <w:proofErr w:type="spellEnd"/>
      <w:r w:rsidR="004305B3">
        <w:t xml:space="preserve">. Het aantal kopers is stijgend </w:t>
      </w:r>
      <w:r w:rsidR="00B85310">
        <w:t xml:space="preserve">maar zoals voor de </w:t>
      </w:r>
      <w:proofErr w:type="spellStart"/>
      <w:r w:rsidR="00B85310">
        <w:t>biogroenten</w:t>
      </w:r>
      <w:proofErr w:type="spellEnd"/>
      <w:r w:rsidR="00B85310">
        <w:t xml:space="preserve"> </w:t>
      </w:r>
      <w:r w:rsidR="004305B3">
        <w:t>was</w:t>
      </w:r>
      <w:r w:rsidR="00B85310">
        <w:t xml:space="preserve"> de groei vorig jaar kleiner dan de jaren voordien. </w:t>
      </w:r>
    </w:p>
    <w:p w:rsidR="00981DAE" w:rsidRDefault="00981DAE" w:rsidP="006E2878">
      <w:r w:rsidRPr="00D15E1B">
        <w:rPr>
          <w:noProof/>
          <w:lang w:eastAsia="nl-BE"/>
        </w:rPr>
        <w:drawing>
          <wp:inline distT="0" distB="0" distL="0" distR="0" wp14:anchorId="696368B7" wp14:editId="25B526D3">
            <wp:extent cx="4126230" cy="2297927"/>
            <wp:effectExtent l="0" t="0" r="7620" b="762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81DAE" w:rsidRPr="00D15E1B" w:rsidRDefault="00981DAE" w:rsidP="00981DAE">
      <w:pPr>
        <w:ind w:left="1276"/>
        <w:rPr>
          <w:i/>
        </w:rPr>
      </w:pPr>
      <w:r w:rsidRPr="00D15E1B">
        <w:rPr>
          <w:i/>
        </w:rPr>
        <w:t>Bron: GfK Belgium</w:t>
      </w:r>
    </w:p>
    <w:p w:rsidR="008250F9" w:rsidRPr="00D15E1B" w:rsidRDefault="008F5EEA" w:rsidP="000B7F84">
      <w:pPr>
        <w:spacing w:before="360" w:after="120"/>
        <w:rPr>
          <w:b/>
        </w:rPr>
      </w:pPr>
      <w:r w:rsidRPr="00D15E1B">
        <w:rPr>
          <w:b/>
        </w:rPr>
        <w:t>Tomaat blijft de meest gekochte groentesoort</w:t>
      </w:r>
    </w:p>
    <w:p w:rsidR="00672824" w:rsidRPr="00D15E1B" w:rsidRDefault="00C149F3">
      <w:r w:rsidRPr="00D15E1B">
        <w:t xml:space="preserve">De tomaat blijft de koploper binnen het groenteassortiment met een thuisverbruik van </w:t>
      </w:r>
      <w:r w:rsidR="000323CD">
        <w:t>5,7</w:t>
      </w:r>
      <w:r w:rsidRPr="00D15E1B">
        <w:t xml:space="preserve"> kg per capita, gevolgd door wortelen met 5,</w:t>
      </w:r>
      <w:r w:rsidR="000323CD">
        <w:t>6</w:t>
      </w:r>
      <w:r w:rsidRPr="00D15E1B">
        <w:t xml:space="preserve"> kg per capita en ajuin met 4,4 kg per capita.</w:t>
      </w:r>
      <w:r w:rsidR="005A09B0" w:rsidRPr="00D15E1B">
        <w:t xml:space="preserve"> </w:t>
      </w:r>
      <w:r w:rsidR="00E612D1" w:rsidRPr="00D15E1B">
        <w:t xml:space="preserve">Binnen het tomatensegment winnen vooral de kerstomaten </w:t>
      </w:r>
      <w:r w:rsidR="000323CD">
        <w:t xml:space="preserve">op lange termijn </w:t>
      </w:r>
      <w:r w:rsidR="00E612D1" w:rsidRPr="00D15E1B">
        <w:t xml:space="preserve">aandeel ten koste van de gewone tomaten. </w:t>
      </w:r>
      <w:r w:rsidR="00295C7F" w:rsidRPr="00D15E1B">
        <w:t xml:space="preserve">In waarde zijn kerstomaten ondertussen zelfs het belangrijkste segment geworden binnen de tomatenrayon. </w:t>
      </w:r>
      <w:r w:rsidR="0034106E" w:rsidRPr="0034106E">
        <w:t>De sterke groeiers</w:t>
      </w:r>
      <w:r w:rsidR="0034106E">
        <w:t xml:space="preserve"> in 2017</w:t>
      </w:r>
      <w:r w:rsidR="0034106E" w:rsidRPr="0034106E">
        <w:t xml:space="preserve"> waren </w:t>
      </w:r>
      <w:r w:rsidR="0034106E">
        <w:t xml:space="preserve">onder andere </w:t>
      </w:r>
      <w:r w:rsidR="0034106E" w:rsidRPr="0034106E">
        <w:t xml:space="preserve">de speciale paddelstoelen, </w:t>
      </w:r>
      <w:r w:rsidR="00E8661B">
        <w:t>C</w:t>
      </w:r>
      <w:r w:rsidR="0034106E" w:rsidRPr="0034106E">
        <w:t>hinese kool, pastinaak, savooikool,</w:t>
      </w:r>
      <w:r w:rsidR="000608A3">
        <w:t xml:space="preserve"> rode biet,</w:t>
      </w:r>
      <w:r w:rsidR="0034106E" w:rsidRPr="0034106E">
        <w:t xml:space="preserve"> raapjes en gemengde sla</w:t>
      </w:r>
      <w:r w:rsidR="005A09B0" w:rsidRPr="00D15E1B">
        <w:t xml:space="preserve">. </w:t>
      </w:r>
      <w:r w:rsidR="0034106E" w:rsidRPr="0034106E">
        <w:t xml:space="preserve">De </w:t>
      </w:r>
      <w:r w:rsidR="0034106E">
        <w:t>opmerkelijkste</w:t>
      </w:r>
      <w:r w:rsidR="0034106E" w:rsidRPr="0034106E">
        <w:t xml:space="preserve"> dalers waren: waterkers, </w:t>
      </w:r>
      <w:r w:rsidR="00BE1D64">
        <w:t xml:space="preserve">kropsla, </w:t>
      </w:r>
      <w:r w:rsidR="0034106E" w:rsidRPr="0034106E">
        <w:t>krulsla/</w:t>
      </w:r>
      <w:proofErr w:type="spellStart"/>
      <w:r w:rsidR="0034106E" w:rsidRPr="0034106E">
        <w:t>frisée</w:t>
      </w:r>
      <w:proofErr w:type="spellEnd"/>
      <w:r w:rsidR="0034106E" w:rsidRPr="0034106E">
        <w:t>, eikenbladsla en grove andijvie.</w:t>
      </w:r>
      <w:r w:rsidR="0034106E">
        <w:t xml:space="preserve"> </w:t>
      </w:r>
      <w:r w:rsidR="0034106E" w:rsidRPr="0034106E">
        <w:t>Binnen de top tien wonnen</w:t>
      </w:r>
      <w:r w:rsidR="0034106E">
        <w:t xml:space="preserve"> vorig jaar </w:t>
      </w:r>
      <w:r w:rsidR="0034106E" w:rsidRPr="0034106E">
        <w:t xml:space="preserve">enkel paprika en champignons terrein. </w:t>
      </w:r>
      <w:r w:rsidR="0034106E" w:rsidRPr="0034106E">
        <w:br/>
      </w:r>
      <w:r w:rsidR="00BE1D64" w:rsidRPr="00D15E1B">
        <w:rPr>
          <w:noProof/>
          <w:lang w:eastAsia="nl-BE"/>
        </w:rPr>
        <w:drawing>
          <wp:inline distT="0" distB="0" distL="0" distR="0" wp14:anchorId="0CD13BAC" wp14:editId="51EAFC97">
            <wp:extent cx="4864735" cy="2313829"/>
            <wp:effectExtent l="0" t="0" r="12065" b="10795"/>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A09B0" w:rsidRPr="00D15E1B" w:rsidRDefault="005A09B0" w:rsidP="000B7F84">
      <w:pPr>
        <w:ind w:left="709"/>
        <w:rPr>
          <w:i/>
        </w:rPr>
      </w:pPr>
      <w:r w:rsidRPr="00D15E1B">
        <w:rPr>
          <w:i/>
        </w:rPr>
        <w:t>Bron: GfK Belgium</w:t>
      </w:r>
    </w:p>
    <w:p w:rsidR="005A09B0" w:rsidRPr="00D15E1B" w:rsidRDefault="003A583F">
      <w:r w:rsidRPr="00D15E1B">
        <w:lastRenderedPageBreak/>
        <w:t>De Vlamin</w:t>
      </w:r>
      <w:r w:rsidR="004261CB" w:rsidRPr="00D15E1B">
        <w:t>g neigt in verhouding eerder naar paprika</w:t>
      </w:r>
      <w:r w:rsidR="00511862" w:rsidRPr="00D15E1B">
        <w:t>, prei, champignons, broccoli,</w:t>
      </w:r>
      <w:r w:rsidR="004261CB" w:rsidRPr="00D15E1B">
        <w:t xml:space="preserve"> bloemkool</w:t>
      </w:r>
      <w:r w:rsidR="00511862" w:rsidRPr="00D15E1B">
        <w:t>, spruitjes en spinazie</w:t>
      </w:r>
      <w:r w:rsidR="004261CB" w:rsidRPr="00D15E1B">
        <w:t xml:space="preserve">, terwijl de Waal in verhouding eerder kiest voor ajuin, witloof, </w:t>
      </w:r>
      <w:r w:rsidR="00511862" w:rsidRPr="00D15E1B">
        <w:t xml:space="preserve">courgette, sla, </w:t>
      </w:r>
      <w:r w:rsidR="004261CB" w:rsidRPr="00D15E1B">
        <w:t>sjalot</w:t>
      </w:r>
      <w:r w:rsidR="00511862" w:rsidRPr="00D15E1B">
        <w:t>, andijvie en aubergine</w:t>
      </w:r>
      <w:r w:rsidR="004261CB" w:rsidRPr="00D15E1B">
        <w:t>. De Brusselaar springt er bovenuit voor tomaten, komkommer en prin</w:t>
      </w:r>
      <w:r w:rsidR="00541685">
        <w:t>s</w:t>
      </w:r>
      <w:r w:rsidR="004261CB" w:rsidRPr="00D15E1B">
        <w:t>esse</w:t>
      </w:r>
      <w:r w:rsidR="00541685">
        <w:t>n</w:t>
      </w:r>
      <w:r w:rsidR="004261CB" w:rsidRPr="00D15E1B">
        <w:t>boontjes. Groentesoorten die eerder in de smaak vallen bij jongere gezinnen zijn tomaten, wortelen, paprika, courgette, champignons, komkommer</w:t>
      </w:r>
      <w:r w:rsidR="00511862" w:rsidRPr="00D15E1B">
        <w:t xml:space="preserve">, </w:t>
      </w:r>
      <w:r w:rsidR="004261CB" w:rsidRPr="00D15E1B">
        <w:t>aubergine</w:t>
      </w:r>
      <w:r w:rsidR="00511862" w:rsidRPr="00D15E1B">
        <w:t xml:space="preserve"> en diverse slasoorten</w:t>
      </w:r>
      <w:r w:rsidR="004261CB" w:rsidRPr="00D15E1B">
        <w:t xml:space="preserve">. Oudere gezinnen kiezen daarentegen in verhouding eerder voor witloof, prei, </w:t>
      </w:r>
      <w:r w:rsidR="00511862" w:rsidRPr="00D15E1B">
        <w:t>koolsoorten</w:t>
      </w:r>
      <w:r w:rsidR="00E612D1" w:rsidRPr="00D15E1B">
        <w:t xml:space="preserve">, </w:t>
      </w:r>
      <w:r w:rsidR="004261CB" w:rsidRPr="00D15E1B">
        <w:t>kropsla</w:t>
      </w:r>
      <w:r w:rsidR="00E612D1" w:rsidRPr="00D15E1B">
        <w:t>, selder, sjalot en asperges.</w:t>
      </w:r>
    </w:p>
    <w:p w:rsidR="005A04F2" w:rsidRPr="00D15E1B" w:rsidRDefault="005A04F2" w:rsidP="000B7F84">
      <w:pPr>
        <w:spacing w:before="360" w:after="120"/>
        <w:rPr>
          <w:b/>
        </w:rPr>
      </w:pPr>
      <w:r w:rsidRPr="00D15E1B">
        <w:rPr>
          <w:b/>
        </w:rPr>
        <w:t>Appel blijft koploper binnen</w:t>
      </w:r>
      <w:r w:rsidR="0062069B" w:rsidRPr="00D15E1B">
        <w:rPr>
          <w:b/>
        </w:rPr>
        <w:t xml:space="preserve"> fruit</w:t>
      </w:r>
      <w:r w:rsidRPr="00D15E1B">
        <w:rPr>
          <w:b/>
        </w:rPr>
        <w:t xml:space="preserve">, </w:t>
      </w:r>
      <w:proofErr w:type="spellStart"/>
      <w:r w:rsidR="00BE1D64">
        <w:rPr>
          <w:b/>
        </w:rPr>
        <w:t>zachtfruit</w:t>
      </w:r>
      <w:proofErr w:type="spellEnd"/>
      <w:r w:rsidR="00BE1D64">
        <w:rPr>
          <w:b/>
        </w:rPr>
        <w:t xml:space="preserve"> wint terrein</w:t>
      </w:r>
    </w:p>
    <w:p w:rsidR="0005644E" w:rsidRDefault="0005644E" w:rsidP="005A04F2">
      <w:r w:rsidRPr="0005644E">
        <w:t>De nummer één in de fruitkorf</w:t>
      </w:r>
      <w:r w:rsidR="00A14D8E">
        <w:t>,</w:t>
      </w:r>
      <w:r w:rsidRPr="0005644E">
        <w:t xml:space="preserve"> ‘de appel’, met Jonagold op kop</w:t>
      </w:r>
      <w:r w:rsidR="00E272A9">
        <w:t>,</w:t>
      </w:r>
      <w:r w:rsidRPr="0005644E">
        <w:t xml:space="preserve"> die fors duurder was</w:t>
      </w:r>
      <w:r w:rsidR="00A14D8E">
        <w:t xml:space="preserve"> omwille van de mislukte oogst</w:t>
      </w:r>
      <w:r w:rsidRPr="0005644E">
        <w:t xml:space="preserve">, kon zich qua volume niet handhaven en verloor verder marktaandeel aan vooral de bananen. </w:t>
      </w:r>
      <w:r w:rsidR="00E63897" w:rsidRPr="00E63897">
        <w:t>In 2008 kocht de gemiddelde Belg 5,4 kg Jonagold, terwijl dit in 2017 nog 3,</w:t>
      </w:r>
      <w:r w:rsidR="00E63897">
        <w:t xml:space="preserve">3 </w:t>
      </w:r>
      <w:r w:rsidR="00E63897" w:rsidRPr="00E63897">
        <w:t xml:space="preserve">kg was. </w:t>
      </w:r>
      <w:r w:rsidRPr="0005644E">
        <w:t>Pink lady</w:t>
      </w:r>
      <w:r w:rsidR="00A14D8E">
        <w:t>,</w:t>
      </w:r>
      <w:r w:rsidRPr="0005644E">
        <w:t xml:space="preserve"> die een minder 2016 kende, groeide vorig jaar opnieuw. De aardbeien kenden een goed jaar en stegen zowel in volume als in besteding. Andere belangrijke stijgers waren: de blauwe bosbessen, braambessen, watermeloen, frambozen en abrikozen. De perenverkoop viel, na een sterk 2014 waarin de consument opgeroepen werd om de perenproducenten te steunen na de Russische handelsboycot, verder terug tot op </w:t>
      </w:r>
      <w:r w:rsidR="00E272A9">
        <w:t xml:space="preserve">het </w:t>
      </w:r>
      <w:r w:rsidRPr="0005644E">
        <w:t xml:space="preserve">niveau van 2013. Bij de grootste dalers behoorden: de stekelbessen, de vijgen, alle perenrassen met uitzondering van de Conference, de </w:t>
      </w:r>
      <w:proofErr w:type="spellStart"/>
      <w:r w:rsidRPr="0005644E">
        <w:t>Reinettes</w:t>
      </w:r>
      <w:proofErr w:type="spellEnd"/>
      <w:r w:rsidRPr="0005644E">
        <w:t xml:space="preserve"> en </w:t>
      </w:r>
      <w:proofErr w:type="spellStart"/>
      <w:r w:rsidRPr="0005644E">
        <w:t>Granny</w:t>
      </w:r>
      <w:proofErr w:type="spellEnd"/>
      <w:r w:rsidRPr="0005644E">
        <w:t xml:space="preserve"> Smith</w:t>
      </w:r>
      <w:r w:rsidR="00A14D8E">
        <w:t>-</w:t>
      </w:r>
      <w:r w:rsidRPr="0005644E">
        <w:t>appel.</w:t>
      </w:r>
    </w:p>
    <w:p w:rsidR="000E5D52" w:rsidRPr="00D15E1B" w:rsidRDefault="00F52A54" w:rsidP="005A04F2">
      <w:r w:rsidRPr="00D15E1B">
        <w:t>Jonge huishoudens kiezen eerder voor appelen, bananen en meloenen. Oudere huishoudens neigen eerder naar sinaasappelen</w:t>
      </w:r>
      <w:r w:rsidR="00CD1312" w:rsidRPr="00D15E1B">
        <w:t xml:space="preserve">, </w:t>
      </w:r>
      <w:r w:rsidRPr="00D15E1B">
        <w:t>peren</w:t>
      </w:r>
      <w:r w:rsidR="00CD1312" w:rsidRPr="00D15E1B">
        <w:t>, perziken, nectarines, …</w:t>
      </w:r>
    </w:p>
    <w:p w:rsidR="00BC1B72" w:rsidRPr="00D15E1B" w:rsidRDefault="00BC1B72" w:rsidP="00BC1B72">
      <w:pPr>
        <w:spacing w:after="0"/>
        <w:jc w:val="center"/>
      </w:pPr>
      <w:r w:rsidRPr="00D15E1B">
        <w:rPr>
          <w:noProof/>
          <w:lang w:eastAsia="nl-BE"/>
        </w:rPr>
        <w:drawing>
          <wp:inline distT="0" distB="0" distL="0" distR="0" wp14:anchorId="0BAC0C4F" wp14:editId="6260D83D">
            <wp:extent cx="5509895" cy="2528515"/>
            <wp:effectExtent l="0" t="0" r="14605" b="5715"/>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1B72" w:rsidRPr="00D15E1B" w:rsidRDefault="00BC1B72" w:rsidP="00424CF4">
      <w:pPr>
        <w:ind w:left="142"/>
        <w:rPr>
          <w:i/>
        </w:rPr>
      </w:pPr>
      <w:r w:rsidRPr="00D15E1B">
        <w:rPr>
          <w:i/>
        </w:rPr>
        <w:t>Bron: GfK Belgium</w:t>
      </w:r>
    </w:p>
    <w:p w:rsidR="00A01CC8" w:rsidRPr="00D15E1B" w:rsidRDefault="00A01CC8" w:rsidP="00A01CC8"/>
    <w:p w:rsidR="00E612D1" w:rsidRPr="00D15E1B" w:rsidRDefault="000D5359" w:rsidP="000B7F84">
      <w:pPr>
        <w:spacing w:before="360" w:after="120"/>
        <w:rPr>
          <w:b/>
        </w:rPr>
      </w:pPr>
      <w:bookmarkStart w:id="3" w:name="_Hlk510171175"/>
      <w:r w:rsidRPr="00D15E1B">
        <w:rPr>
          <w:b/>
        </w:rPr>
        <w:t>DIS 1 blijft marktleider</w:t>
      </w:r>
      <w:r w:rsidR="00A14C5A" w:rsidRPr="00D15E1B">
        <w:rPr>
          <w:b/>
        </w:rPr>
        <w:t xml:space="preserve"> </w:t>
      </w:r>
      <w:r w:rsidR="0005644E">
        <w:rPr>
          <w:b/>
        </w:rPr>
        <w:t>voor</w:t>
      </w:r>
      <w:r w:rsidR="00A14C5A" w:rsidRPr="00D15E1B">
        <w:rPr>
          <w:b/>
        </w:rPr>
        <w:t xml:space="preserve"> verse groenten </w:t>
      </w:r>
      <w:r w:rsidR="0005644E">
        <w:rPr>
          <w:b/>
        </w:rPr>
        <w:t>en</w:t>
      </w:r>
      <w:r w:rsidR="00893496">
        <w:rPr>
          <w:b/>
        </w:rPr>
        <w:t xml:space="preserve"> </w:t>
      </w:r>
      <w:r w:rsidR="00A14C5A" w:rsidRPr="00D15E1B">
        <w:rPr>
          <w:b/>
        </w:rPr>
        <w:t>fruit</w:t>
      </w:r>
      <w:r w:rsidR="0005644E">
        <w:rPr>
          <w:b/>
        </w:rPr>
        <w:t xml:space="preserve"> maar buurtsupermarkt wint terrein </w:t>
      </w:r>
    </w:p>
    <w:p w:rsidR="00BE1D64" w:rsidRPr="00D15E1B" w:rsidRDefault="00A14C5A">
      <w:r w:rsidRPr="00D15E1B">
        <w:t>4</w:t>
      </w:r>
      <w:r w:rsidR="0005644E">
        <w:t>8</w:t>
      </w:r>
      <w:r w:rsidR="000B7F84" w:rsidRPr="00D15E1B">
        <w:t>% van het aangekochte volume verse groenten</w:t>
      </w:r>
      <w:r w:rsidRPr="00D15E1B">
        <w:t xml:space="preserve"> en </w:t>
      </w:r>
      <w:r w:rsidR="00893496">
        <w:t xml:space="preserve">vers </w:t>
      </w:r>
      <w:r w:rsidRPr="00D15E1B">
        <w:t>fruit</w:t>
      </w:r>
      <w:r w:rsidR="000B7F84" w:rsidRPr="00D15E1B">
        <w:t xml:space="preserve"> passeerde in 201</w:t>
      </w:r>
      <w:r w:rsidR="00E63897">
        <w:t>7</w:t>
      </w:r>
      <w:r w:rsidR="000B7F84" w:rsidRPr="00D15E1B">
        <w:t xml:space="preserve"> bij DIS 1 (hypermarkten en grotere supermarkten) langs</w:t>
      </w:r>
      <w:r w:rsidRPr="00D15E1B">
        <w:t xml:space="preserve"> de kassa. Dit is </w:t>
      </w:r>
      <w:r w:rsidR="00DB5041">
        <w:t xml:space="preserve">één procent </w:t>
      </w:r>
      <w:r w:rsidR="00E63897">
        <w:t>minder</w:t>
      </w:r>
      <w:r w:rsidR="000B7F84" w:rsidRPr="00D15E1B">
        <w:t xml:space="preserve"> dan in 201</w:t>
      </w:r>
      <w:r w:rsidR="00E63897">
        <w:t>6</w:t>
      </w:r>
      <w:r w:rsidR="000B7F84" w:rsidRPr="00D15E1B">
        <w:t>. Hard discount (Aldi en Lidl</w:t>
      </w:r>
      <w:r w:rsidRPr="00D15E1B">
        <w:t>) heeft een volumeaandeel van 24</w:t>
      </w:r>
      <w:r w:rsidR="000B7F84" w:rsidRPr="00D15E1B">
        <w:t xml:space="preserve">%. Na een jaarlijkse </w:t>
      </w:r>
      <w:r w:rsidRPr="00D15E1B">
        <w:t>stijging tussen 2010</w:t>
      </w:r>
      <w:r w:rsidR="000B7F84" w:rsidRPr="00D15E1B">
        <w:t xml:space="preserve"> en 2015</w:t>
      </w:r>
      <w:r w:rsidRPr="00D15E1B">
        <w:t xml:space="preserve"> voor hard discount</w:t>
      </w:r>
      <w:r w:rsidR="000B7F84" w:rsidRPr="00D15E1B">
        <w:t>, noteren we een stabilisatie</w:t>
      </w:r>
      <w:r w:rsidR="00A14D8E">
        <w:t xml:space="preserve"> in 2017</w:t>
      </w:r>
      <w:r w:rsidR="000B7F84" w:rsidRPr="00D15E1B">
        <w:t xml:space="preserve">. </w:t>
      </w:r>
      <w:r w:rsidR="00A14D8E">
        <w:br/>
      </w:r>
      <w:r w:rsidR="009015C5" w:rsidRPr="009015C5">
        <w:t>Op de derde plaats st</w:t>
      </w:r>
      <w:r w:rsidR="00A14D8E">
        <w:t>aat</w:t>
      </w:r>
      <w:r w:rsidR="009015C5" w:rsidRPr="009015C5">
        <w:t xml:space="preserve"> de buurtsupermarkt</w:t>
      </w:r>
      <w:r w:rsidR="00A14D8E">
        <w:t>. Het is de enige stijger in 2017; hij klom van een marktaandeel van</w:t>
      </w:r>
      <w:r w:rsidR="009015C5" w:rsidRPr="009015C5">
        <w:t xml:space="preserve"> 14 naar 16%</w:t>
      </w:r>
      <w:r w:rsidR="009015C5">
        <w:t xml:space="preserve">. Alle </w:t>
      </w:r>
      <w:r w:rsidR="000B7F84" w:rsidRPr="00D15E1B">
        <w:t xml:space="preserve">supermarkten </w:t>
      </w:r>
      <w:r w:rsidR="00C47A68">
        <w:t xml:space="preserve">samen (Dis 1, Hard discount en buurtsupermarkt) </w:t>
      </w:r>
      <w:r w:rsidR="000B7F84" w:rsidRPr="00D15E1B">
        <w:lastRenderedPageBreak/>
        <w:t xml:space="preserve">haalden </w:t>
      </w:r>
      <w:r w:rsidR="009015C5">
        <w:t>vorig jaar</w:t>
      </w:r>
      <w:r w:rsidRPr="00D15E1B">
        <w:t xml:space="preserve"> een aandeel van 8</w:t>
      </w:r>
      <w:r w:rsidR="009015C5">
        <w:t>8</w:t>
      </w:r>
      <w:r w:rsidR="000B7F84" w:rsidRPr="00D15E1B">
        <w:t xml:space="preserve">%. </w:t>
      </w:r>
      <w:r w:rsidR="006E118F" w:rsidRPr="00D15E1B">
        <w:t>Verse g</w:t>
      </w:r>
      <w:r w:rsidR="000B7F84" w:rsidRPr="00D15E1B">
        <w:t xml:space="preserve">roenten </w:t>
      </w:r>
      <w:r w:rsidR="006E118F" w:rsidRPr="00D15E1B">
        <w:t xml:space="preserve">en </w:t>
      </w:r>
      <w:r w:rsidR="00CE2522">
        <w:t xml:space="preserve">vers </w:t>
      </w:r>
      <w:r w:rsidR="006E118F" w:rsidRPr="00D15E1B">
        <w:t xml:space="preserve">fruit </w:t>
      </w:r>
      <w:r w:rsidR="000B7F84" w:rsidRPr="00D15E1B">
        <w:t>worden steeds meer supermarkt</w:t>
      </w:r>
      <w:r w:rsidR="00893496">
        <w:t xml:space="preserve">producten </w:t>
      </w:r>
      <w:r w:rsidR="000B7F84" w:rsidRPr="00D15E1B">
        <w:t>ten koste van de markten, groentewinkels en rechtstreeks</w:t>
      </w:r>
      <w:r w:rsidR="00CE2522">
        <w:t>e</w:t>
      </w:r>
      <w:r w:rsidR="000B7F84" w:rsidRPr="00D15E1B">
        <w:t xml:space="preserve"> aankoop.</w:t>
      </w:r>
      <w:r w:rsidR="006E118F" w:rsidRPr="00D15E1B">
        <w:t xml:space="preserve"> </w:t>
      </w:r>
      <w:r w:rsidR="00BE1D64">
        <w:br/>
        <w:t xml:space="preserve">Een andere trend is de opkomst van de maaltijdboxen die aan huis geleverd worden of kunnen afgehaald worden. Deze formule is succesvol bij welgestelde alleenstaanden en gezinnen met kinderen. Bijna 3% van de Belgen heeft als eens een </w:t>
      </w:r>
      <w:proofErr w:type="spellStart"/>
      <w:r w:rsidR="00BE1D64">
        <w:t>maaltijdbox</w:t>
      </w:r>
      <w:proofErr w:type="spellEnd"/>
      <w:r w:rsidR="00BE1D64">
        <w:t xml:space="preserve"> besteld.</w:t>
      </w:r>
    </w:p>
    <w:bookmarkEnd w:id="3"/>
    <w:p w:rsidR="000B7F84" w:rsidRDefault="0005644E" w:rsidP="003105CB">
      <w:pPr>
        <w:spacing w:after="0"/>
        <w:jc w:val="center"/>
      </w:pPr>
      <w:r>
        <w:rPr>
          <w:noProof/>
        </w:rPr>
        <w:drawing>
          <wp:inline distT="0" distB="0" distL="0" distR="0" wp14:anchorId="027B9363">
            <wp:extent cx="6024338" cy="326263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8110" cy="3264673"/>
                    </a:xfrm>
                    <a:prstGeom prst="rect">
                      <a:avLst/>
                    </a:prstGeom>
                    <a:noFill/>
                  </pic:spPr>
                </pic:pic>
              </a:graphicData>
            </a:graphic>
          </wp:inline>
        </w:drawing>
      </w:r>
    </w:p>
    <w:p w:rsidR="00336DE3" w:rsidRDefault="00336DE3" w:rsidP="00336DE3">
      <w:pPr>
        <w:spacing w:line="276" w:lineRule="auto"/>
        <w:jc w:val="both"/>
        <w:rPr>
          <w:rFonts w:eastAsia="Calibri" w:cs="Arial"/>
          <w:b/>
          <w:i/>
        </w:rPr>
      </w:pPr>
    </w:p>
    <w:p w:rsidR="00336DE3" w:rsidRPr="0084753C" w:rsidRDefault="00336DE3" w:rsidP="00336DE3">
      <w:pPr>
        <w:spacing w:line="276" w:lineRule="auto"/>
        <w:jc w:val="both"/>
        <w:rPr>
          <w:rFonts w:eastAsia="Calibri" w:cs="Arial"/>
          <w:b/>
        </w:rPr>
      </w:pPr>
      <w:r w:rsidRPr="0084753C">
        <w:rPr>
          <w:rFonts w:eastAsia="Calibri" w:cs="Arial"/>
          <w:b/>
        </w:rPr>
        <w:t xml:space="preserve">Thuisconsumptie is de norm maar </w:t>
      </w:r>
      <w:proofErr w:type="spellStart"/>
      <w:r w:rsidRPr="0084753C">
        <w:rPr>
          <w:rFonts w:eastAsia="Calibri" w:cs="Arial"/>
          <w:b/>
        </w:rPr>
        <w:t>buitenshuisconsumptie</w:t>
      </w:r>
      <w:proofErr w:type="spellEnd"/>
      <w:r w:rsidRPr="0084753C">
        <w:rPr>
          <w:rFonts w:eastAsia="Calibri" w:cs="Arial"/>
          <w:b/>
        </w:rPr>
        <w:t xml:space="preserve"> stijgt</w:t>
      </w:r>
    </w:p>
    <w:p w:rsidR="00336DE3" w:rsidRDefault="00336DE3" w:rsidP="00336DE3">
      <w:pPr>
        <w:spacing w:line="276" w:lineRule="auto"/>
        <w:jc w:val="both"/>
        <w:rPr>
          <w:rFonts w:eastAsia="Calibri" w:cs="Arial"/>
        </w:rPr>
      </w:pPr>
      <w:r>
        <w:rPr>
          <w:rFonts w:eastAsia="Calibri" w:cs="Arial"/>
        </w:rPr>
        <w:t xml:space="preserve">Na de crisis in </w:t>
      </w:r>
      <w:r w:rsidRPr="00122F19">
        <w:rPr>
          <w:rFonts w:eastAsia="Calibri" w:cs="Arial"/>
        </w:rPr>
        <w:t xml:space="preserve">2008 was de groei in de </w:t>
      </w:r>
      <w:proofErr w:type="spellStart"/>
      <w:r w:rsidRPr="00122F19">
        <w:rPr>
          <w:rFonts w:eastAsia="Calibri" w:cs="Arial"/>
        </w:rPr>
        <w:t>buitenshuisconsumptie</w:t>
      </w:r>
      <w:proofErr w:type="spellEnd"/>
      <w:r w:rsidRPr="00122F19">
        <w:rPr>
          <w:rFonts w:eastAsia="Calibri" w:cs="Arial"/>
        </w:rPr>
        <w:t xml:space="preserve"> compleet weg. </w:t>
      </w:r>
      <w:r>
        <w:rPr>
          <w:rFonts w:eastAsia="Calibri" w:cs="Arial"/>
        </w:rPr>
        <w:t>Vanaf</w:t>
      </w:r>
      <w:r w:rsidRPr="00122F19">
        <w:rPr>
          <w:rFonts w:eastAsia="Calibri" w:cs="Arial"/>
        </w:rPr>
        <w:t xml:space="preserve"> 2014 </w:t>
      </w:r>
      <w:r>
        <w:rPr>
          <w:rFonts w:eastAsia="Calibri" w:cs="Arial"/>
        </w:rPr>
        <w:t xml:space="preserve">keerde </w:t>
      </w:r>
      <w:r w:rsidRPr="00122F19">
        <w:rPr>
          <w:rFonts w:eastAsia="Calibri" w:cs="Arial"/>
        </w:rPr>
        <w:t xml:space="preserve">het tij </w:t>
      </w:r>
      <w:r>
        <w:rPr>
          <w:rFonts w:eastAsia="Calibri" w:cs="Arial"/>
        </w:rPr>
        <w:t>en werd het consumentenvertrouwen herwonnen</w:t>
      </w:r>
      <w:r w:rsidRPr="00122F19">
        <w:rPr>
          <w:rFonts w:eastAsia="Calibri" w:cs="Arial"/>
        </w:rPr>
        <w:t xml:space="preserve">. Dit zorgt voor de stimulering van de </w:t>
      </w:r>
      <w:r>
        <w:rPr>
          <w:rFonts w:eastAsia="Calibri" w:cs="Arial"/>
        </w:rPr>
        <w:t>f</w:t>
      </w:r>
      <w:r w:rsidRPr="00122F19">
        <w:rPr>
          <w:rFonts w:eastAsia="Calibri" w:cs="Arial"/>
        </w:rPr>
        <w:t>oodservicemarkt</w:t>
      </w:r>
      <w:r>
        <w:rPr>
          <w:rFonts w:eastAsia="Calibri" w:cs="Arial"/>
        </w:rPr>
        <w:t>, die vorig jaar met ruim 2% groeide. T</w:t>
      </w:r>
      <w:r w:rsidRPr="00122F19">
        <w:rPr>
          <w:rFonts w:eastAsia="Calibri" w:cs="Arial"/>
        </w:rPr>
        <w:t xml:space="preserve">ijdswinst </w:t>
      </w:r>
      <w:r>
        <w:rPr>
          <w:rFonts w:eastAsia="Calibri" w:cs="Arial"/>
        </w:rPr>
        <w:t>is belangrijk voor de moderne consument</w:t>
      </w:r>
      <w:r w:rsidR="00E272A9">
        <w:rPr>
          <w:rFonts w:eastAsia="Calibri" w:cs="Arial"/>
        </w:rPr>
        <w:t>,</w:t>
      </w:r>
      <w:r>
        <w:rPr>
          <w:rFonts w:eastAsia="Calibri" w:cs="Arial"/>
        </w:rPr>
        <w:t xml:space="preserve"> die op zoek gaat naar </w:t>
      </w:r>
      <w:r w:rsidRPr="00122F19">
        <w:rPr>
          <w:rFonts w:eastAsia="Calibri" w:cs="Arial"/>
        </w:rPr>
        <w:t>gemaks</w:t>
      </w:r>
      <w:r w:rsidR="00E272A9">
        <w:rPr>
          <w:rFonts w:eastAsia="Calibri" w:cs="Arial"/>
        </w:rPr>
        <w:t>oplossingen</w:t>
      </w:r>
      <w:r w:rsidRPr="00122F19">
        <w:rPr>
          <w:rFonts w:eastAsia="Calibri" w:cs="Arial"/>
        </w:rPr>
        <w:t xml:space="preserve"> en snelle oplossingen (</w:t>
      </w:r>
      <w:proofErr w:type="spellStart"/>
      <w:r w:rsidRPr="00122F19">
        <w:rPr>
          <w:rFonts w:eastAsia="Calibri" w:cs="Arial"/>
        </w:rPr>
        <w:t>quick</w:t>
      </w:r>
      <w:proofErr w:type="spellEnd"/>
      <w:r w:rsidRPr="00122F19">
        <w:rPr>
          <w:rFonts w:eastAsia="Calibri" w:cs="Arial"/>
        </w:rPr>
        <w:t xml:space="preserve"> service, werk, onderweg, …) </w:t>
      </w:r>
      <w:r>
        <w:rPr>
          <w:rFonts w:eastAsia="Calibri" w:cs="Arial"/>
        </w:rPr>
        <w:t>m</w:t>
      </w:r>
      <w:r w:rsidRPr="00122F19">
        <w:rPr>
          <w:rFonts w:eastAsia="Calibri" w:cs="Arial"/>
        </w:rPr>
        <w:t xml:space="preserve">aar ook de beleving </w:t>
      </w:r>
      <w:r>
        <w:rPr>
          <w:rFonts w:eastAsia="Calibri" w:cs="Arial"/>
        </w:rPr>
        <w:t>staat centraal. H</w:t>
      </w:r>
      <w:r w:rsidRPr="00122F19">
        <w:rPr>
          <w:rFonts w:eastAsia="Calibri" w:cs="Arial"/>
        </w:rPr>
        <w:t>orecazaken die investeren in het creëren van een unieke beleving zijn de winnaars van vandaag</w:t>
      </w:r>
      <w:r>
        <w:rPr>
          <w:rFonts w:eastAsia="Calibri" w:cs="Arial"/>
        </w:rPr>
        <w:t xml:space="preserve">. </w:t>
      </w:r>
    </w:p>
    <w:p w:rsidR="00336DE3" w:rsidRPr="00122F19" w:rsidRDefault="00336DE3" w:rsidP="00336DE3">
      <w:pPr>
        <w:spacing w:line="276" w:lineRule="auto"/>
        <w:jc w:val="both"/>
        <w:rPr>
          <w:rFonts w:eastAsia="Calibri" w:cs="Arial"/>
        </w:rPr>
      </w:pPr>
      <w:r w:rsidRPr="00122F19">
        <w:rPr>
          <w:rFonts w:eastAsia="Calibri" w:cs="Arial"/>
        </w:rPr>
        <w:t>Thuis is en blijft de belangrijkste consumptieplaats voor voeding in het algemeen en voor groenten en fruit in het bijzonder. Van het totaal aantal consumptiemomenten vindt twee derde thuis plaats, zo ook voor groenten. 7% van de consumptiemomenten met groenten vindt bij familie en vrienden plaats. De rest van de groentemomenten situeren zich op het werk of op school (10% van de momenten), in de klassieke horecazaken (9%)</w:t>
      </w:r>
      <w:r>
        <w:rPr>
          <w:rFonts w:eastAsia="Calibri" w:cs="Arial"/>
        </w:rPr>
        <w:t xml:space="preserve"> </w:t>
      </w:r>
      <w:r w:rsidRPr="00122F19">
        <w:rPr>
          <w:rFonts w:eastAsia="Calibri" w:cs="Arial"/>
        </w:rPr>
        <w:t>en ‘overige’ (6%). Onder ‘overige’ vallen onder andere feestzalen, recreatieparken en Ikea-restaurants. Sla en komkommer worden relatief meer buitenshuis geconsumeerd</w:t>
      </w:r>
      <w:r>
        <w:rPr>
          <w:rFonts w:eastAsia="Calibri" w:cs="Arial"/>
        </w:rPr>
        <w:t>. Prei en courgette zijn typische thuisproducten</w:t>
      </w:r>
      <w:r w:rsidRPr="00122F19">
        <w:rPr>
          <w:rFonts w:eastAsia="Calibri" w:cs="Arial"/>
        </w:rPr>
        <w:t xml:space="preserve">. </w:t>
      </w:r>
    </w:p>
    <w:p w:rsidR="00336DE3" w:rsidRPr="00D15E1B" w:rsidRDefault="00336DE3" w:rsidP="003105CB">
      <w:pPr>
        <w:spacing w:after="0"/>
        <w:jc w:val="center"/>
      </w:pPr>
    </w:p>
    <w:sectPr w:rsidR="00336DE3" w:rsidRPr="00D15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6C"/>
    <w:rsid w:val="000323CD"/>
    <w:rsid w:val="0005644E"/>
    <w:rsid w:val="000608A3"/>
    <w:rsid w:val="00060D0E"/>
    <w:rsid w:val="000A288B"/>
    <w:rsid w:val="000A46ED"/>
    <w:rsid w:val="000B7F84"/>
    <w:rsid w:val="000D5359"/>
    <w:rsid w:val="000E5D52"/>
    <w:rsid w:val="00124568"/>
    <w:rsid w:val="00155F2E"/>
    <w:rsid w:val="00184E77"/>
    <w:rsid w:val="0019267D"/>
    <w:rsid w:val="001A034A"/>
    <w:rsid w:val="002879C7"/>
    <w:rsid w:val="00295C7F"/>
    <w:rsid w:val="002F42AC"/>
    <w:rsid w:val="003105CB"/>
    <w:rsid w:val="00336DE3"/>
    <w:rsid w:val="0034106E"/>
    <w:rsid w:val="00351129"/>
    <w:rsid w:val="003A583F"/>
    <w:rsid w:val="003D38DF"/>
    <w:rsid w:val="003E615B"/>
    <w:rsid w:val="00424CF4"/>
    <w:rsid w:val="004261CB"/>
    <w:rsid w:val="004305B3"/>
    <w:rsid w:val="004850ED"/>
    <w:rsid w:val="004F586C"/>
    <w:rsid w:val="00511862"/>
    <w:rsid w:val="00541685"/>
    <w:rsid w:val="00571533"/>
    <w:rsid w:val="00583620"/>
    <w:rsid w:val="005A04F2"/>
    <w:rsid w:val="005A09B0"/>
    <w:rsid w:val="005D21C5"/>
    <w:rsid w:val="005F61F8"/>
    <w:rsid w:val="0062069B"/>
    <w:rsid w:val="00672824"/>
    <w:rsid w:val="006B79E8"/>
    <w:rsid w:val="006E118F"/>
    <w:rsid w:val="006E175B"/>
    <w:rsid w:val="006E2878"/>
    <w:rsid w:val="007113F7"/>
    <w:rsid w:val="00727CB8"/>
    <w:rsid w:val="00776B7F"/>
    <w:rsid w:val="008250F9"/>
    <w:rsid w:val="00826A45"/>
    <w:rsid w:val="00830CD2"/>
    <w:rsid w:val="0084753C"/>
    <w:rsid w:val="00893496"/>
    <w:rsid w:val="008A6AB1"/>
    <w:rsid w:val="008B69FB"/>
    <w:rsid w:val="008E45B8"/>
    <w:rsid w:val="008F5EEA"/>
    <w:rsid w:val="009015C5"/>
    <w:rsid w:val="00926B84"/>
    <w:rsid w:val="00963C88"/>
    <w:rsid w:val="00981DAE"/>
    <w:rsid w:val="009A4038"/>
    <w:rsid w:val="00A01CC8"/>
    <w:rsid w:val="00A14C5A"/>
    <w:rsid w:val="00A14D8E"/>
    <w:rsid w:val="00A34AE3"/>
    <w:rsid w:val="00A9160E"/>
    <w:rsid w:val="00AE6D42"/>
    <w:rsid w:val="00AF5C5D"/>
    <w:rsid w:val="00B85310"/>
    <w:rsid w:val="00BB3212"/>
    <w:rsid w:val="00BC1B72"/>
    <w:rsid w:val="00BE1D64"/>
    <w:rsid w:val="00C149F3"/>
    <w:rsid w:val="00C47A68"/>
    <w:rsid w:val="00C707E3"/>
    <w:rsid w:val="00C708E0"/>
    <w:rsid w:val="00C71FDC"/>
    <w:rsid w:val="00CD1312"/>
    <w:rsid w:val="00CE2522"/>
    <w:rsid w:val="00D15E1B"/>
    <w:rsid w:val="00D3530E"/>
    <w:rsid w:val="00DA7A42"/>
    <w:rsid w:val="00DB1FB9"/>
    <w:rsid w:val="00DB5041"/>
    <w:rsid w:val="00DD5650"/>
    <w:rsid w:val="00DE5998"/>
    <w:rsid w:val="00E15989"/>
    <w:rsid w:val="00E272A9"/>
    <w:rsid w:val="00E36AB0"/>
    <w:rsid w:val="00E612D1"/>
    <w:rsid w:val="00E63897"/>
    <w:rsid w:val="00E8661B"/>
    <w:rsid w:val="00EC46B6"/>
    <w:rsid w:val="00F52A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EA7A3-76BE-4383-9D54-84E51E28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105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E25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2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Thuisverbruik van verse groenten in België (in kg per capita)</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tx>
            <c:strRef>
              <c:f>Blad1!$B$1</c:f>
              <c:strCache>
                <c:ptCount val="1"/>
                <c:pt idx="0">
                  <c:v>Reeks 1</c:v>
                </c:pt>
              </c:strCache>
            </c:strRef>
          </c:tx>
          <c:spPr>
            <a:solidFill>
              <a:srgbClr val="92D05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Blad1!$B$2:$B$11</c:f>
              <c:numCache>
                <c:formatCode>General</c:formatCode>
                <c:ptCount val="10"/>
                <c:pt idx="0">
                  <c:v>38.97</c:v>
                </c:pt>
                <c:pt idx="1">
                  <c:v>39.97</c:v>
                </c:pt>
                <c:pt idx="2">
                  <c:v>40.200000000000003</c:v>
                </c:pt>
                <c:pt idx="3">
                  <c:v>40.4</c:v>
                </c:pt>
                <c:pt idx="4">
                  <c:v>40.25</c:v>
                </c:pt>
                <c:pt idx="5">
                  <c:v>40.51</c:v>
                </c:pt>
                <c:pt idx="6">
                  <c:v>40.130000000000003</c:v>
                </c:pt>
                <c:pt idx="7">
                  <c:v>39.090000000000003</c:v>
                </c:pt>
                <c:pt idx="8">
                  <c:v>39.049999999999997</c:v>
                </c:pt>
                <c:pt idx="9">
                  <c:v>38.06</c:v>
                </c:pt>
              </c:numCache>
            </c:numRef>
          </c:val>
          <c:extLst>
            <c:ext xmlns:c16="http://schemas.microsoft.com/office/drawing/2014/chart" uri="{C3380CC4-5D6E-409C-BE32-E72D297353CC}">
              <c16:uniqueId val="{00000000-EBCA-44CC-92BE-B24F6A0A81DC}"/>
            </c:ext>
          </c:extLst>
        </c:ser>
        <c:dLbls>
          <c:showLegendKey val="0"/>
          <c:showVal val="0"/>
          <c:showCatName val="0"/>
          <c:showSerName val="0"/>
          <c:showPercent val="0"/>
          <c:showBubbleSize val="0"/>
        </c:dLbls>
        <c:gapWidth val="50"/>
        <c:axId val="70911791"/>
        <c:axId val="20365055"/>
      </c:barChart>
      <c:catAx>
        <c:axId val="7091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BE"/>
          </a:p>
        </c:txPr>
        <c:crossAx val="20365055"/>
        <c:crosses val="autoZero"/>
        <c:auto val="1"/>
        <c:lblAlgn val="ctr"/>
        <c:lblOffset val="100"/>
        <c:noMultiLvlLbl val="0"/>
      </c:catAx>
      <c:valAx>
        <c:axId val="2036505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09117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Thuisverbruik van vers</a:t>
            </a:r>
            <a:r>
              <a:rPr lang="en-US" sz="1000" b="1" baseline="0"/>
              <a:t> fruit </a:t>
            </a:r>
            <a:r>
              <a:rPr lang="en-US" sz="1000" b="1"/>
              <a:t>in België (in kg per capita)</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tx>
            <c:strRef>
              <c:f>Blad1!$B$1</c:f>
              <c:strCache>
                <c:ptCount val="1"/>
                <c:pt idx="0">
                  <c:v>Reeks 1</c:v>
                </c:pt>
              </c:strCache>
            </c:strRef>
          </c:tx>
          <c:spPr>
            <a:solidFill>
              <a:srgbClr val="92D05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Blad1!$B$2:$B$11</c:f>
              <c:numCache>
                <c:formatCode>General</c:formatCode>
                <c:ptCount val="10"/>
                <c:pt idx="0">
                  <c:v>51.39</c:v>
                </c:pt>
                <c:pt idx="1">
                  <c:v>50.49</c:v>
                </c:pt>
                <c:pt idx="2">
                  <c:v>51.74</c:v>
                </c:pt>
                <c:pt idx="3">
                  <c:v>49.22</c:v>
                </c:pt>
                <c:pt idx="4">
                  <c:v>50</c:v>
                </c:pt>
                <c:pt idx="5">
                  <c:v>48.54</c:v>
                </c:pt>
                <c:pt idx="6">
                  <c:v>47</c:v>
                </c:pt>
                <c:pt idx="7">
                  <c:v>47.02</c:v>
                </c:pt>
                <c:pt idx="8">
                  <c:v>46.61</c:v>
                </c:pt>
                <c:pt idx="9">
                  <c:v>47.04</c:v>
                </c:pt>
              </c:numCache>
            </c:numRef>
          </c:val>
          <c:extLst>
            <c:ext xmlns:c16="http://schemas.microsoft.com/office/drawing/2014/chart" uri="{C3380CC4-5D6E-409C-BE32-E72D297353CC}">
              <c16:uniqueId val="{00000000-A131-4A6F-BF7A-976205A2AB60}"/>
            </c:ext>
          </c:extLst>
        </c:ser>
        <c:dLbls>
          <c:showLegendKey val="0"/>
          <c:showVal val="0"/>
          <c:showCatName val="0"/>
          <c:showSerName val="0"/>
          <c:showPercent val="0"/>
          <c:showBubbleSize val="0"/>
        </c:dLbls>
        <c:gapWidth val="50"/>
        <c:axId val="70911791"/>
        <c:axId val="20365055"/>
      </c:barChart>
      <c:catAx>
        <c:axId val="7091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BE"/>
          </a:p>
        </c:txPr>
        <c:crossAx val="20365055"/>
        <c:crosses val="autoZero"/>
        <c:auto val="1"/>
        <c:lblAlgn val="ctr"/>
        <c:lblOffset val="100"/>
        <c:noMultiLvlLbl val="0"/>
      </c:catAx>
      <c:valAx>
        <c:axId val="2036505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09117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nl-B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Thuisverbruik top tien van groentesoorten in België (in kg per capita)</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manualLayout>
          <c:layoutTarget val="inner"/>
          <c:xMode val="edge"/>
          <c:yMode val="edge"/>
          <c:x val="5.06699748290503E-2"/>
          <c:y val="0.15588111989389516"/>
          <c:w val="0.92061314747874246"/>
          <c:h val="0.49078023644914665"/>
        </c:manualLayout>
      </c:layout>
      <c:barChart>
        <c:barDir val="col"/>
        <c:grouping val="clustered"/>
        <c:varyColors val="0"/>
        <c:ser>
          <c:idx val="0"/>
          <c:order val="0"/>
          <c:tx>
            <c:strRef>
              <c:f>Blad1!$B$1</c:f>
              <c:strCache>
                <c:ptCount val="1"/>
                <c:pt idx="0">
                  <c:v>2008</c:v>
                </c:pt>
              </c:strCache>
            </c:strRef>
          </c:tx>
          <c:spPr>
            <a:solidFill>
              <a:srgbClr val="00B0F0"/>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Blad1!$A$2:$A$11</c:f>
              <c:strCache>
                <c:ptCount val="10"/>
                <c:pt idx="0">
                  <c:v>tomaat</c:v>
                </c:pt>
                <c:pt idx="1">
                  <c:v>wortel</c:v>
                </c:pt>
                <c:pt idx="2">
                  <c:v>ajuin</c:v>
                </c:pt>
                <c:pt idx="3">
                  <c:v>witloof</c:v>
                </c:pt>
                <c:pt idx="4">
                  <c:v>sla</c:v>
                </c:pt>
                <c:pt idx="5">
                  <c:v>paprika</c:v>
                </c:pt>
                <c:pt idx="6">
                  <c:v>prei</c:v>
                </c:pt>
                <c:pt idx="7">
                  <c:v>champignon</c:v>
                </c:pt>
                <c:pt idx="8">
                  <c:v>courgette</c:v>
                </c:pt>
                <c:pt idx="9">
                  <c:v>komkommer</c:v>
                </c:pt>
              </c:strCache>
            </c:strRef>
          </c:cat>
          <c:val>
            <c:numRef>
              <c:f>Blad1!$B$2:$B$11</c:f>
              <c:numCache>
                <c:formatCode>General</c:formatCode>
                <c:ptCount val="10"/>
                <c:pt idx="0">
                  <c:v>6.53</c:v>
                </c:pt>
                <c:pt idx="1">
                  <c:v>6.26</c:v>
                </c:pt>
                <c:pt idx="2">
                  <c:v>4.4000000000000004</c:v>
                </c:pt>
                <c:pt idx="3">
                  <c:v>4.33</c:v>
                </c:pt>
                <c:pt idx="4">
                  <c:v>2.4</c:v>
                </c:pt>
                <c:pt idx="5">
                  <c:v>1.34</c:v>
                </c:pt>
                <c:pt idx="6">
                  <c:v>1.79</c:v>
                </c:pt>
                <c:pt idx="7">
                  <c:v>1.34</c:v>
                </c:pt>
                <c:pt idx="8">
                  <c:v>1.1599999999999999</c:v>
                </c:pt>
                <c:pt idx="9">
                  <c:v>0.78</c:v>
                </c:pt>
              </c:numCache>
            </c:numRef>
          </c:val>
          <c:extLst>
            <c:ext xmlns:c16="http://schemas.microsoft.com/office/drawing/2014/chart" uri="{C3380CC4-5D6E-409C-BE32-E72D297353CC}">
              <c16:uniqueId val="{00000000-094C-4DAB-A9AF-D6FABB08F179}"/>
            </c:ext>
          </c:extLst>
        </c:ser>
        <c:ser>
          <c:idx val="1"/>
          <c:order val="1"/>
          <c:tx>
            <c:strRef>
              <c:f>Blad1!$C$1</c:f>
              <c:strCache>
                <c:ptCount val="1"/>
                <c:pt idx="0">
                  <c:v>2016</c:v>
                </c:pt>
              </c:strCache>
            </c:strRef>
          </c:tx>
          <c:spPr>
            <a:solidFill>
              <a:schemeClr val="accent2"/>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Blad1!$A$2:$A$11</c:f>
              <c:strCache>
                <c:ptCount val="10"/>
                <c:pt idx="0">
                  <c:v>tomaat</c:v>
                </c:pt>
                <c:pt idx="1">
                  <c:v>wortel</c:v>
                </c:pt>
                <c:pt idx="2">
                  <c:v>ajuin</c:v>
                </c:pt>
                <c:pt idx="3">
                  <c:v>witloof</c:v>
                </c:pt>
                <c:pt idx="4">
                  <c:v>sla</c:v>
                </c:pt>
                <c:pt idx="5">
                  <c:v>paprika</c:v>
                </c:pt>
                <c:pt idx="6">
                  <c:v>prei</c:v>
                </c:pt>
                <c:pt idx="7">
                  <c:v>champignon</c:v>
                </c:pt>
                <c:pt idx="8">
                  <c:v>courgette</c:v>
                </c:pt>
                <c:pt idx="9">
                  <c:v>komkommer</c:v>
                </c:pt>
              </c:strCache>
            </c:strRef>
          </c:cat>
          <c:val>
            <c:numRef>
              <c:f>Blad1!$C$2:$C$11</c:f>
              <c:numCache>
                <c:formatCode>General</c:formatCode>
                <c:ptCount val="10"/>
                <c:pt idx="0">
                  <c:v>6</c:v>
                </c:pt>
                <c:pt idx="1">
                  <c:v>5.8</c:v>
                </c:pt>
                <c:pt idx="2">
                  <c:v>4.46</c:v>
                </c:pt>
                <c:pt idx="3">
                  <c:v>3.05</c:v>
                </c:pt>
                <c:pt idx="4">
                  <c:v>2.46</c:v>
                </c:pt>
                <c:pt idx="5">
                  <c:v>1.64</c:v>
                </c:pt>
                <c:pt idx="6">
                  <c:v>1.63</c:v>
                </c:pt>
                <c:pt idx="7">
                  <c:v>1.38</c:v>
                </c:pt>
                <c:pt idx="8">
                  <c:v>1.51</c:v>
                </c:pt>
                <c:pt idx="9">
                  <c:v>1.17</c:v>
                </c:pt>
              </c:numCache>
            </c:numRef>
          </c:val>
          <c:extLst>
            <c:ext xmlns:c16="http://schemas.microsoft.com/office/drawing/2014/chart" uri="{C3380CC4-5D6E-409C-BE32-E72D297353CC}">
              <c16:uniqueId val="{00000001-094C-4DAB-A9AF-D6FABB08F179}"/>
            </c:ext>
          </c:extLst>
        </c:ser>
        <c:ser>
          <c:idx val="2"/>
          <c:order val="2"/>
          <c:tx>
            <c:strRef>
              <c:f>Blad1!$D$1</c:f>
              <c:strCache>
                <c:ptCount val="1"/>
                <c:pt idx="0">
                  <c:v>2017</c:v>
                </c:pt>
              </c:strCache>
            </c:strRef>
          </c:tx>
          <c:spPr>
            <a:solidFill>
              <a:schemeClr val="accent3"/>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nl-B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Blad1!$A$2:$A$11</c:f>
              <c:strCache>
                <c:ptCount val="10"/>
                <c:pt idx="0">
                  <c:v>tomaat</c:v>
                </c:pt>
                <c:pt idx="1">
                  <c:v>wortel</c:v>
                </c:pt>
                <c:pt idx="2">
                  <c:v>ajuin</c:v>
                </c:pt>
                <c:pt idx="3">
                  <c:v>witloof</c:v>
                </c:pt>
                <c:pt idx="4">
                  <c:v>sla</c:v>
                </c:pt>
                <c:pt idx="5">
                  <c:v>paprika</c:v>
                </c:pt>
                <c:pt idx="6">
                  <c:v>prei</c:v>
                </c:pt>
                <c:pt idx="7">
                  <c:v>champignon</c:v>
                </c:pt>
                <c:pt idx="8">
                  <c:v>courgette</c:v>
                </c:pt>
                <c:pt idx="9">
                  <c:v>komkommer</c:v>
                </c:pt>
              </c:strCache>
            </c:strRef>
          </c:cat>
          <c:val>
            <c:numRef>
              <c:f>Blad1!$D$2:$D$11</c:f>
              <c:numCache>
                <c:formatCode>General</c:formatCode>
                <c:ptCount val="10"/>
                <c:pt idx="0">
                  <c:v>5.73</c:v>
                </c:pt>
                <c:pt idx="1">
                  <c:v>5.63</c:v>
                </c:pt>
                <c:pt idx="2">
                  <c:v>4.42</c:v>
                </c:pt>
                <c:pt idx="3">
                  <c:v>2.85</c:v>
                </c:pt>
                <c:pt idx="4">
                  <c:v>2.37</c:v>
                </c:pt>
                <c:pt idx="5">
                  <c:v>1.69</c:v>
                </c:pt>
                <c:pt idx="6">
                  <c:v>1.59</c:v>
                </c:pt>
                <c:pt idx="7">
                  <c:v>1.43</c:v>
                </c:pt>
                <c:pt idx="8">
                  <c:v>1.4</c:v>
                </c:pt>
                <c:pt idx="9">
                  <c:v>1.17</c:v>
                </c:pt>
              </c:numCache>
            </c:numRef>
          </c:val>
          <c:extLst>
            <c:ext xmlns:c16="http://schemas.microsoft.com/office/drawing/2014/chart" uri="{C3380CC4-5D6E-409C-BE32-E72D297353CC}">
              <c16:uniqueId val="{00000002-094C-4DAB-A9AF-D6FABB08F179}"/>
            </c:ext>
          </c:extLst>
        </c:ser>
        <c:dLbls>
          <c:showLegendKey val="0"/>
          <c:showVal val="0"/>
          <c:showCatName val="0"/>
          <c:showSerName val="0"/>
          <c:showPercent val="0"/>
          <c:showBubbleSize val="0"/>
        </c:dLbls>
        <c:gapWidth val="50"/>
        <c:axId val="70911791"/>
        <c:axId val="20365055"/>
      </c:barChart>
      <c:catAx>
        <c:axId val="7091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BE"/>
          </a:p>
        </c:txPr>
        <c:crossAx val="20365055"/>
        <c:crosses val="autoZero"/>
        <c:auto val="1"/>
        <c:lblAlgn val="ctr"/>
        <c:lblOffset val="100"/>
        <c:noMultiLvlLbl val="0"/>
      </c:catAx>
      <c:valAx>
        <c:axId val="2036505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0911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nl-B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Thuisverbruik top tien van fruitsoorten in België (in kg per capita)</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manualLayout>
          <c:layoutTarget val="inner"/>
          <c:xMode val="edge"/>
          <c:yMode val="edge"/>
          <c:x val="5.06699748290503E-2"/>
          <c:y val="0.15588111989389516"/>
          <c:w val="0.92061314747874246"/>
          <c:h val="0.43101391054724514"/>
        </c:manualLayout>
      </c:layout>
      <c:barChart>
        <c:barDir val="col"/>
        <c:grouping val="clustered"/>
        <c:varyColors val="0"/>
        <c:ser>
          <c:idx val="0"/>
          <c:order val="0"/>
          <c:tx>
            <c:strRef>
              <c:f>Blad1!$B$1</c:f>
              <c:strCache>
                <c:ptCount val="1"/>
                <c:pt idx="0">
                  <c:v>2008</c:v>
                </c:pt>
              </c:strCache>
            </c:strRef>
          </c:tx>
          <c:spPr>
            <a:solidFill>
              <a:srgbClr val="00B0F0"/>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Blad1!$A$2:$A$11</c:f>
              <c:strCache>
                <c:ptCount val="10"/>
                <c:pt idx="0">
                  <c:v>appel</c:v>
                </c:pt>
                <c:pt idx="1">
                  <c:v>banaan</c:v>
                </c:pt>
                <c:pt idx="2">
                  <c:v>sinaasappel</c:v>
                </c:pt>
                <c:pt idx="3">
                  <c:v>mandarijn</c:v>
                </c:pt>
                <c:pt idx="4">
                  <c:v>peer</c:v>
                </c:pt>
                <c:pt idx="5">
                  <c:v>druif</c:v>
                </c:pt>
                <c:pt idx="6">
                  <c:v>meloen</c:v>
                </c:pt>
                <c:pt idx="7">
                  <c:v>kiwi</c:v>
                </c:pt>
                <c:pt idx="8">
                  <c:v>aardbei</c:v>
                </c:pt>
                <c:pt idx="9">
                  <c:v>nectarine</c:v>
                </c:pt>
              </c:strCache>
            </c:strRef>
          </c:cat>
          <c:val>
            <c:numRef>
              <c:f>Blad1!$B$2:$B$11</c:f>
              <c:numCache>
                <c:formatCode>General</c:formatCode>
                <c:ptCount val="10"/>
                <c:pt idx="0">
                  <c:v>10.9</c:v>
                </c:pt>
                <c:pt idx="1">
                  <c:v>7.94</c:v>
                </c:pt>
                <c:pt idx="2">
                  <c:v>9.31</c:v>
                </c:pt>
                <c:pt idx="3">
                  <c:v>3.82</c:v>
                </c:pt>
                <c:pt idx="4">
                  <c:v>3.54</c:v>
                </c:pt>
                <c:pt idx="5">
                  <c:v>2.4</c:v>
                </c:pt>
                <c:pt idx="6">
                  <c:v>1.75</c:v>
                </c:pt>
                <c:pt idx="7">
                  <c:v>1.81</c:v>
                </c:pt>
                <c:pt idx="8">
                  <c:v>1.45</c:v>
                </c:pt>
                <c:pt idx="9">
                  <c:v>1.63</c:v>
                </c:pt>
              </c:numCache>
            </c:numRef>
          </c:val>
          <c:extLst>
            <c:ext xmlns:c16="http://schemas.microsoft.com/office/drawing/2014/chart" uri="{C3380CC4-5D6E-409C-BE32-E72D297353CC}">
              <c16:uniqueId val="{00000000-7FC7-4CC8-B376-620B109CBCBE}"/>
            </c:ext>
          </c:extLst>
        </c:ser>
        <c:ser>
          <c:idx val="1"/>
          <c:order val="1"/>
          <c:tx>
            <c:strRef>
              <c:f>Blad1!$C$1</c:f>
              <c:strCache>
                <c:ptCount val="1"/>
                <c:pt idx="0">
                  <c:v>2016</c:v>
                </c:pt>
              </c:strCache>
            </c:strRef>
          </c:tx>
          <c:spPr>
            <a:solidFill>
              <a:schemeClr val="accent2"/>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Blad1!$A$2:$A$11</c:f>
              <c:strCache>
                <c:ptCount val="10"/>
                <c:pt idx="0">
                  <c:v>appel</c:v>
                </c:pt>
                <c:pt idx="1">
                  <c:v>banaan</c:v>
                </c:pt>
                <c:pt idx="2">
                  <c:v>sinaasappel</c:v>
                </c:pt>
                <c:pt idx="3">
                  <c:v>mandarijn</c:v>
                </c:pt>
                <c:pt idx="4">
                  <c:v>peer</c:v>
                </c:pt>
                <c:pt idx="5">
                  <c:v>druif</c:v>
                </c:pt>
                <c:pt idx="6">
                  <c:v>meloen</c:v>
                </c:pt>
                <c:pt idx="7">
                  <c:v>kiwi</c:v>
                </c:pt>
                <c:pt idx="8">
                  <c:v>aardbei</c:v>
                </c:pt>
                <c:pt idx="9">
                  <c:v>nectarine</c:v>
                </c:pt>
              </c:strCache>
            </c:strRef>
          </c:cat>
          <c:val>
            <c:numRef>
              <c:f>Blad1!$C$2:$C$11</c:f>
              <c:numCache>
                <c:formatCode>General</c:formatCode>
                <c:ptCount val="10"/>
                <c:pt idx="0">
                  <c:v>8.39</c:v>
                </c:pt>
                <c:pt idx="1">
                  <c:v>7.53</c:v>
                </c:pt>
                <c:pt idx="2">
                  <c:v>7.27</c:v>
                </c:pt>
                <c:pt idx="3">
                  <c:v>3.83</c:v>
                </c:pt>
                <c:pt idx="4">
                  <c:v>2.87</c:v>
                </c:pt>
                <c:pt idx="5">
                  <c:v>2.36</c:v>
                </c:pt>
                <c:pt idx="6">
                  <c:v>2.29</c:v>
                </c:pt>
                <c:pt idx="7">
                  <c:v>1.83</c:v>
                </c:pt>
                <c:pt idx="8">
                  <c:v>1.53</c:v>
                </c:pt>
                <c:pt idx="9">
                  <c:v>1.43</c:v>
                </c:pt>
              </c:numCache>
            </c:numRef>
          </c:val>
          <c:extLst>
            <c:ext xmlns:c16="http://schemas.microsoft.com/office/drawing/2014/chart" uri="{C3380CC4-5D6E-409C-BE32-E72D297353CC}">
              <c16:uniqueId val="{00000001-7FC7-4CC8-B376-620B109CBCBE}"/>
            </c:ext>
          </c:extLst>
        </c:ser>
        <c:ser>
          <c:idx val="2"/>
          <c:order val="2"/>
          <c:tx>
            <c:strRef>
              <c:f>Blad1!$D$1</c:f>
              <c:strCache>
                <c:ptCount val="1"/>
                <c:pt idx="0">
                  <c:v>2017</c:v>
                </c:pt>
              </c:strCache>
            </c:strRef>
          </c:tx>
          <c:spPr>
            <a:solidFill>
              <a:schemeClr val="accent3"/>
            </a:solidFill>
            <a:ln>
              <a:noFill/>
            </a:ln>
            <a:effectLst/>
          </c:spPr>
          <c:invertIfNegative val="0"/>
          <c:dLbls>
            <c:numFmt formatCode="#,##0.0" sourceLinked="0"/>
            <c:spPr>
              <a:noFill/>
              <a:ln>
                <a:noFill/>
              </a:ln>
              <a:effectLst/>
            </c:spPr>
            <c:txPr>
              <a:bodyPr rot="-5400000" spcFirstLastPara="1" vertOverflow="ellipsis"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nl-B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Blad1!$A$2:$A$11</c:f>
              <c:strCache>
                <c:ptCount val="10"/>
                <c:pt idx="0">
                  <c:v>appel</c:v>
                </c:pt>
                <c:pt idx="1">
                  <c:v>banaan</c:v>
                </c:pt>
                <c:pt idx="2">
                  <c:v>sinaasappel</c:v>
                </c:pt>
                <c:pt idx="3">
                  <c:v>mandarijn</c:v>
                </c:pt>
                <c:pt idx="4">
                  <c:v>peer</c:v>
                </c:pt>
                <c:pt idx="5">
                  <c:v>druif</c:v>
                </c:pt>
                <c:pt idx="6">
                  <c:v>meloen</c:v>
                </c:pt>
                <c:pt idx="7">
                  <c:v>kiwi</c:v>
                </c:pt>
                <c:pt idx="8">
                  <c:v>aardbei</c:v>
                </c:pt>
                <c:pt idx="9">
                  <c:v>nectarine</c:v>
                </c:pt>
              </c:strCache>
            </c:strRef>
          </c:cat>
          <c:val>
            <c:numRef>
              <c:f>Blad1!$D$2:$D$11</c:f>
              <c:numCache>
                <c:formatCode>General</c:formatCode>
                <c:ptCount val="10"/>
                <c:pt idx="0">
                  <c:v>8.14</c:v>
                </c:pt>
                <c:pt idx="1">
                  <c:v>7.91</c:v>
                </c:pt>
                <c:pt idx="2">
                  <c:v>6.75</c:v>
                </c:pt>
                <c:pt idx="3">
                  <c:v>3.91</c:v>
                </c:pt>
                <c:pt idx="4">
                  <c:v>2.68</c:v>
                </c:pt>
                <c:pt idx="5">
                  <c:v>2.56</c:v>
                </c:pt>
                <c:pt idx="6">
                  <c:v>2.52</c:v>
                </c:pt>
                <c:pt idx="7">
                  <c:v>1.73</c:v>
                </c:pt>
                <c:pt idx="8">
                  <c:v>1.61</c:v>
                </c:pt>
                <c:pt idx="9">
                  <c:v>1.45</c:v>
                </c:pt>
              </c:numCache>
            </c:numRef>
          </c:val>
          <c:extLst>
            <c:ext xmlns:c16="http://schemas.microsoft.com/office/drawing/2014/chart" uri="{C3380CC4-5D6E-409C-BE32-E72D297353CC}">
              <c16:uniqueId val="{00000002-7FC7-4CC8-B376-620B109CBCBE}"/>
            </c:ext>
          </c:extLst>
        </c:ser>
        <c:dLbls>
          <c:showLegendKey val="0"/>
          <c:showVal val="0"/>
          <c:showCatName val="0"/>
          <c:showSerName val="0"/>
          <c:showPercent val="0"/>
          <c:showBubbleSize val="0"/>
        </c:dLbls>
        <c:gapWidth val="30"/>
        <c:axId val="70911791"/>
        <c:axId val="20365055"/>
      </c:barChart>
      <c:catAx>
        <c:axId val="7091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BE"/>
          </a:p>
        </c:txPr>
        <c:crossAx val="20365055"/>
        <c:crosses val="autoZero"/>
        <c:auto val="1"/>
        <c:lblAlgn val="ctr"/>
        <c:lblOffset val="100"/>
        <c:noMultiLvlLbl val="0"/>
      </c:catAx>
      <c:valAx>
        <c:axId val="2036505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0911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F11B-D4FC-4538-B24E-F0B66D6E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6798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Michiels</dc:creator>
  <cp:keywords/>
  <dc:description/>
  <cp:lastModifiedBy>Luc Busschaert</cp:lastModifiedBy>
  <cp:revision>2</cp:revision>
  <cp:lastPrinted>2017-04-04T12:27:00Z</cp:lastPrinted>
  <dcterms:created xsi:type="dcterms:W3CDTF">2018-04-20T09:06:00Z</dcterms:created>
  <dcterms:modified xsi:type="dcterms:W3CDTF">2018-04-20T09:06:00Z</dcterms:modified>
</cp:coreProperties>
</file>