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8A" w:rsidRPr="00DC31AF" w:rsidRDefault="49434E9A" w:rsidP="00A43535">
      <w:pPr>
        <w:pStyle w:val="Kop1"/>
        <w:spacing w:line="240" w:lineRule="auto"/>
        <w:rPr>
          <w:rFonts w:asciiTheme="minorHAnsi" w:hAnsiTheme="minorHAnsi"/>
          <w:b/>
          <w:sz w:val="22"/>
          <w:szCs w:val="22"/>
        </w:rPr>
      </w:pPr>
      <w:r w:rsidRPr="00DC31AF">
        <w:rPr>
          <w:rFonts w:asciiTheme="minorHAnsi" w:eastAsia="Calibri" w:hAnsiTheme="minorHAnsi"/>
          <w:b/>
          <w:sz w:val="22"/>
          <w:szCs w:val="22"/>
          <w:lang w:val="nl"/>
        </w:rPr>
        <w:t xml:space="preserve">TECHNISCHE NOTA BIJ ERKENNING VAN </w:t>
      </w:r>
      <w:r w:rsidR="004F3A34" w:rsidRPr="00DC31AF">
        <w:rPr>
          <w:rFonts w:asciiTheme="minorHAnsi" w:eastAsia="Calibri" w:hAnsiTheme="minorHAnsi"/>
          <w:b/>
          <w:sz w:val="22"/>
          <w:szCs w:val="22"/>
          <w:lang w:val="nl"/>
        </w:rPr>
        <w:t xml:space="preserve">DE </w:t>
      </w:r>
      <w:r w:rsidRPr="00DC31AF">
        <w:rPr>
          <w:rFonts w:asciiTheme="minorHAnsi" w:eastAsia="Calibri" w:hAnsiTheme="minorHAnsi"/>
          <w:b/>
          <w:sz w:val="22"/>
          <w:szCs w:val="22"/>
          <w:lang w:val="nl"/>
        </w:rPr>
        <w:t xml:space="preserve">LANDBOUWRAMP </w:t>
      </w:r>
      <w:r w:rsidR="004F3A34" w:rsidRPr="00DC31AF">
        <w:rPr>
          <w:rFonts w:asciiTheme="minorHAnsi" w:eastAsia="Calibri" w:hAnsiTheme="minorHAnsi"/>
          <w:b/>
          <w:sz w:val="22"/>
          <w:szCs w:val="22"/>
          <w:lang w:val="nl"/>
        </w:rPr>
        <w:t>DROOGTE  VAN 1 APRIL TOT EN MET 30 JUNI</w:t>
      </w:r>
      <w:r w:rsidRPr="00DC31AF">
        <w:rPr>
          <w:rFonts w:asciiTheme="minorHAnsi" w:eastAsia="Calibri" w:hAnsiTheme="minorHAnsi"/>
          <w:b/>
          <w:sz w:val="22"/>
          <w:szCs w:val="22"/>
          <w:lang w:val="nl"/>
        </w:rPr>
        <w:t xml:space="preserve"> 2017</w:t>
      </w:r>
    </w:p>
    <w:p w:rsidR="00EC598A" w:rsidRPr="00A43535" w:rsidRDefault="49434E9A" w:rsidP="00A43535">
      <w:pPr>
        <w:pStyle w:val="Kop2"/>
        <w:spacing w:line="240" w:lineRule="auto"/>
        <w:rPr>
          <w:rFonts w:asciiTheme="minorHAnsi" w:hAnsiTheme="minorHAnsi"/>
          <w:sz w:val="22"/>
          <w:szCs w:val="22"/>
        </w:rPr>
      </w:pPr>
      <w:r w:rsidRPr="00A43535">
        <w:rPr>
          <w:rFonts w:asciiTheme="minorHAnsi" w:eastAsia="Calibri" w:hAnsiTheme="minorHAnsi"/>
          <w:sz w:val="22"/>
          <w:szCs w:val="22"/>
          <w:lang w:val="nl"/>
        </w:rPr>
        <w:t>Beschrijving van de situatie</w:t>
      </w:r>
    </w:p>
    <w:p w:rsidR="00EC598A" w:rsidRPr="00A43535" w:rsidRDefault="00EC598A" w:rsidP="00A43535">
      <w:pPr>
        <w:spacing w:line="240" w:lineRule="auto"/>
      </w:pPr>
    </w:p>
    <w:p w:rsidR="00394C6F" w:rsidRDefault="00725E3F" w:rsidP="00A43535">
      <w:pPr>
        <w:spacing w:line="240" w:lineRule="auto"/>
        <w:rPr>
          <w:rFonts w:eastAsia="Calibri" w:cs="Calibri"/>
          <w:lang w:val="nl"/>
        </w:rPr>
      </w:pPr>
      <w:r w:rsidRPr="00A43535">
        <w:rPr>
          <w:rFonts w:eastAsia="Calibri" w:cs="Calibri"/>
          <w:lang w:val="nl"/>
        </w:rPr>
        <w:t>Gezien de uitzonderlijk</w:t>
      </w:r>
      <w:r w:rsidR="004F3A34">
        <w:rPr>
          <w:rFonts w:eastAsia="Calibri" w:cs="Calibri"/>
          <w:lang w:val="nl"/>
        </w:rPr>
        <w:t xml:space="preserve"> geringe neerslag in d</w:t>
      </w:r>
      <w:r w:rsidRPr="00A43535">
        <w:rPr>
          <w:rFonts w:eastAsia="Calibri" w:cs="Calibri"/>
          <w:lang w:val="nl"/>
        </w:rPr>
        <w:t>e maand</w:t>
      </w:r>
      <w:r w:rsidR="004F3A34">
        <w:rPr>
          <w:rFonts w:eastAsia="Calibri" w:cs="Calibri"/>
          <w:lang w:val="nl"/>
        </w:rPr>
        <w:t>en april, mei en juni</w:t>
      </w:r>
      <w:r w:rsidRPr="00A43535">
        <w:rPr>
          <w:rFonts w:eastAsia="Calibri" w:cs="Calibri"/>
          <w:lang w:val="nl"/>
        </w:rPr>
        <w:t xml:space="preserve"> 2017 </w:t>
      </w:r>
      <w:r w:rsidR="00B25474">
        <w:rPr>
          <w:rFonts w:eastAsia="Calibri" w:cs="Calibri"/>
          <w:lang w:val="nl"/>
        </w:rPr>
        <w:t>hebben t</w:t>
      </w:r>
      <w:r w:rsidRPr="00A43535">
        <w:rPr>
          <w:rFonts w:eastAsia="Calibri" w:cs="Calibri"/>
          <w:lang w:val="nl"/>
        </w:rPr>
        <w:t xml:space="preserve">al van </w:t>
      </w:r>
      <w:r w:rsidR="007025DC">
        <w:rPr>
          <w:rFonts w:eastAsia="Calibri" w:cs="Calibri"/>
          <w:lang w:val="nl"/>
        </w:rPr>
        <w:t xml:space="preserve">landbouwgewassen </w:t>
      </w:r>
      <w:r w:rsidR="00B25474">
        <w:rPr>
          <w:rFonts w:eastAsia="Calibri" w:cs="Calibri"/>
          <w:lang w:val="nl"/>
        </w:rPr>
        <w:t>ernstige droogtestress en groeistilstand ondervonden.  Daardoor zijn de rendementen bij de oogst veel lager dan normaal</w:t>
      </w:r>
      <w:r w:rsidR="00394C6F">
        <w:rPr>
          <w:rFonts w:eastAsia="Calibri" w:cs="Calibri"/>
          <w:lang w:val="nl"/>
        </w:rPr>
        <w:t xml:space="preserve">, is de kwaliteit van het eindproduct </w:t>
      </w:r>
      <w:r w:rsidR="00ED22E9">
        <w:rPr>
          <w:rFonts w:eastAsia="Calibri" w:cs="Calibri"/>
          <w:lang w:val="nl"/>
        </w:rPr>
        <w:t>lager dan normaal</w:t>
      </w:r>
      <w:r w:rsidR="00394C6F">
        <w:rPr>
          <w:rFonts w:eastAsia="Calibri" w:cs="Calibri"/>
          <w:lang w:val="nl"/>
        </w:rPr>
        <w:t xml:space="preserve"> of is het gewas helemaal teloor geg</w:t>
      </w:r>
      <w:bookmarkStart w:id="0" w:name="_GoBack"/>
      <w:bookmarkEnd w:id="0"/>
      <w:r w:rsidR="00394C6F">
        <w:rPr>
          <w:rFonts w:eastAsia="Calibri" w:cs="Calibri"/>
          <w:lang w:val="nl"/>
        </w:rPr>
        <w:t>aan.</w:t>
      </w:r>
    </w:p>
    <w:p w:rsidR="00315D6A" w:rsidRPr="00A43535" w:rsidRDefault="00315D6A" w:rsidP="00A43535">
      <w:pPr>
        <w:spacing w:line="240" w:lineRule="auto"/>
        <w:rPr>
          <w:rFonts w:eastAsia="Calibri" w:cs="Calibri"/>
          <w:lang w:val="nl"/>
        </w:rPr>
      </w:pPr>
      <w:r w:rsidRPr="00A43535">
        <w:rPr>
          <w:rFonts w:eastAsia="Calibri" w:cs="Calibri"/>
          <w:lang w:val="nl"/>
        </w:rPr>
        <w:t xml:space="preserve">Bijgevolg heeft het Departement Landbouw en Visserij </w:t>
      </w:r>
      <w:r w:rsidR="00394C6F">
        <w:rPr>
          <w:rFonts w:eastAsia="Calibri" w:cs="Calibri"/>
          <w:lang w:val="nl"/>
        </w:rPr>
        <w:t xml:space="preserve">de </w:t>
      </w:r>
      <w:r w:rsidRPr="00A43535">
        <w:rPr>
          <w:rFonts w:eastAsia="Calibri" w:cs="Calibri"/>
          <w:lang w:val="nl"/>
        </w:rPr>
        <w:t>volgende stappen ondernomen om de situatie grondig te kunnen analyseren en te bekijken of voldaan is aan de wettelijk voorgeschreven erkenningscriteria:</w:t>
      </w:r>
    </w:p>
    <w:p w:rsidR="00315D6A" w:rsidRPr="00A43535" w:rsidRDefault="00315D6A" w:rsidP="00A43535">
      <w:pPr>
        <w:spacing w:line="240" w:lineRule="auto"/>
        <w:rPr>
          <w:rFonts w:eastAsia="Calibri" w:cs="Calibri"/>
          <w:lang w:val="nl"/>
        </w:rPr>
      </w:pPr>
      <w:r w:rsidRPr="00A43535">
        <w:rPr>
          <w:rFonts w:eastAsia="Calibri" w:cs="Calibri"/>
          <w:lang w:val="nl"/>
        </w:rPr>
        <w:t>-</w:t>
      </w:r>
      <w:r w:rsidR="0042007A">
        <w:rPr>
          <w:rFonts w:eastAsia="Calibri" w:cs="Calibri"/>
          <w:lang w:val="nl"/>
        </w:rPr>
        <w:t xml:space="preserve"> </w:t>
      </w:r>
      <w:r w:rsidRPr="00A43535">
        <w:rPr>
          <w:rFonts w:eastAsia="Calibri" w:cs="Calibri"/>
          <w:lang w:val="nl"/>
        </w:rPr>
        <w:t>de uitzonderlijkheid van het wee</w:t>
      </w:r>
      <w:r w:rsidR="005A6758" w:rsidRPr="00A43535">
        <w:rPr>
          <w:rFonts w:eastAsia="Calibri" w:cs="Calibri"/>
          <w:lang w:val="nl"/>
        </w:rPr>
        <w:t>r</w:t>
      </w:r>
      <w:r w:rsidRPr="00A43535">
        <w:rPr>
          <w:rFonts w:eastAsia="Calibri" w:cs="Calibri"/>
          <w:lang w:val="nl"/>
        </w:rPr>
        <w:t>sfenomeen werd nagevraagd bij het KMI</w:t>
      </w:r>
      <w:r w:rsidR="00AE253C" w:rsidRPr="00A43535">
        <w:rPr>
          <w:rFonts w:eastAsia="Calibri" w:cs="Calibri"/>
          <w:lang w:val="nl"/>
        </w:rPr>
        <w:t>;</w:t>
      </w:r>
    </w:p>
    <w:p w:rsidR="00315D6A" w:rsidRPr="00A43535" w:rsidRDefault="00315D6A" w:rsidP="00A43535">
      <w:pPr>
        <w:spacing w:line="240" w:lineRule="auto"/>
        <w:rPr>
          <w:rFonts w:eastAsia="Calibri" w:cs="Calibri"/>
          <w:lang w:val="nl"/>
        </w:rPr>
      </w:pPr>
      <w:r w:rsidRPr="00A43535">
        <w:rPr>
          <w:rFonts w:eastAsia="Calibri" w:cs="Calibri"/>
          <w:lang w:val="nl"/>
        </w:rPr>
        <w:t>-</w:t>
      </w:r>
      <w:r w:rsidR="0042007A">
        <w:rPr>
          <w:rFonts w:eastAsia="Calibri" w:cs="Calibri"/>
          <w:lang w:val="nl"/>
        </w:rPr>
        <w:t xml:space="preserve"> </w:t>
      </w:r>
      <w:r w:rsidR="009E1FB2">
        <w:rPr>
          <w:rFonts w:eastAsia="Calibri" w:cs="Calibri"/>
          <w:lang w:val="nl"/>
        </w:rPr>
        <w:t xml:space="preserve">aan </w:t>
      </w:r>
      <w:r w:rsidRPr="00A43535">
        <w:rPr>
          <w:rFonts w:eastAsia="Calibri" w:cs="Calibri"/>
          <w:lang w:val="nl"/>
        </w:rPr>
        <w:t xml:space="preserve">de </w:t>
      </w:r>
      <w:r w:rsidR="0042007A">
        <w:rPr>
          <w:rFonts w:eastAsia="Calibri" w:cs="Calibri"/>
          <w:lang w:val="nl"/>
        </w:rPr>
        <w:t xml:space="preserve">steden en gemeenten </w:t>
      </w:r>
      <w:r w:rsidRPr="00A43535">
        <w:rPr>
          <w:rFonts w:eastAsia="Calibri" w:cs="Calibri"/>
          <w:lang w:val="nl"/>
        </w:rPr>
        <w:t xml:space="preserve">werd gevraagd om schaderamingen op basis van voorlopige schadevaststellingen </w:t>
      </w:r>
      <w:r w:rsidR="005A6758" w:rsidRPr="00A43535">
        <w:rPr>
          <w:rFonts w:eastAsia="Calibri" w:cs="Calibri"/>
          <w:lang w:val="nl"/>
        </w:rPr>
        <w:t xml:space="preserve">aan teelten </w:t>
      </w:r>
      <w:r w:rsidR="00D81569" w:rsidRPr="00A43535">
        <w:rPr>
          <w:rFonts w:eastAsia="Calibri" w:cs="Calibri"/>
          <w:lang w:val="nl"/>
        </w:rPr>
        <w:t>en aanplan</w:t>
      </w:r>
      <w:r w:rsidR="00394C6F">
        <w:rPr>
          <w:rFonts w:eastAsia="Calibri" w:cs="Calibri"/>
          <w:lang w:val="nl"/>
        </w:rPr>
        <w:t>tin</w:t>
      </w:r>
      <w:r w:rsidR="00D81569" w:rsidRPr="00A43535">
        <w:rPr>
          <w:rFonts w:eastAsia="Calibri" w:cs="Calibri"/>
          <w:lang w:val="nl"/>
        </w:rPr>
        <w:t xml:space="preserve">gen </w:t>
      </w:r>
      <w:r w:rsidRPr="00A43535">
        <w:rPr>
          <w:rFonts w:eastAsia="Calibri" w:cs="Calibri"/>
          <w:lang w:val="nl"/>
        </w:rPr>
        <w:t xml:space="preserve">tegen </w:t>
      </w:r>
      <w:r w:rsidR="00394C6F">
        <w:rPr>
          <w:rFonts w:eastAsia="Calibri" w:cs="Calibri"/>
          <w:lang w:val="nl"/>
        </w:rPr>
        <w:t>8</w:t>
      </w:r>
      <w:r w:rsidRPr="00A43535">
        <w:rPr>
          <w:rFonts w:eastAsia="Calibri" w:cs="Calibri"/>
          <w:lang w:val="nl"/>
        </w:rPr>
        <w:t xml:space="preserve"> </w:t>
      </w:r>
      <w:r w:rsidR="00394C6F">
        <w:rPr>
          <w:rFonts w:eastAsia="Calibri" w:cs="Calibri"/>
          <w:lang w:val="nl"/>
        </w:rPr>
        <w:t>september</w:t>
      </w:r>
      <w:r w:rsidRPr="00A43535">
        <w:rPr>
          <w:rFonts w:eastAsia="Calibri" w:cs="Calibri"/>
          <w:lang w:val="nl"/>
        </w:rPr>
        <w:t xml:space="preserve"> </w:t>
      </w:r>
      <w:r w:rsidR="00AE253C" w:rsidRPr="00A43535">
        <w:rPr>
          <w:rFonts w:eastAsia="Calibri" w:cs="Calibri"/>
          <w:lang w:val="nl"/>
        </w:rPr>
        <w:t xml:space="preserve">2017 </w:t>
      </w:r>
      <w:r w:rsidRPr="00A43535">
        <w:rPr>
          <w:rFonts w:eastAsia="Calibri" w:cs="Calibri"/>
          <w:lang w:val="nl"/>
        </w:rPr>
        <w:t>door te geven aan het Departement Landbouw en Visserij</w:t>
      </w:r>
      <w:r w:rsidR="00AE253C" w:rsidRPr="00A43535">
        <w:rPr>
          <w:rFonts w:eastAsia="Calibri" w:cs="Calibri"/>
          <w:lang w:val="nl"/>
        </w:rPr>
        <w:t>;</w:t>
      </w:r>
    </w:p>
    <w:p w:rsidR="00EC598A" w:rsidRPr="00A43535" w:rsidRDefault="00315D6A" w:rsidP="00A43535">
      <w:pPr>
        <w:spacing w:line="240" w:lineRule="auto"/>
      </w:pPr>
      <w:r w:rsidRPr="00A43535">
        <w:rPr>
          <w:rFonts w:eastAsia="Calibri" w:cs="Calibri"/>
          <w:lang w:val="nl"/>
        </w:rPr>
        <w:t>- een analyse van beide gegevens</w:t>
      </w:r>
      <w:r w:rsidR="007818C2" w:rsidRPr="00A43535">
        <w:rPr>
          <w:rFonts w:eastAsia="Calibri" w:cs="Calibri"/>
          <w:lang w:val="nl"/>
        </w:rPr>
        <w:t>bronnen</w:t>
      </w:r>
      <w:r w:rsidRPr="00A43535">
        <w:rPr>
          <w:rFonts w:eastAsia="Calibri" w:cs="Calibri"/>
          <w:lang w:val="nl"/>
        </w:rPr>
        <w:t xml:space="preserve"> werd uitgevoerd en wordt toegelicht in dit document</w:t>
      </w:r>
      <w:r w:rsidR="00AE253C" w:rsidRPr="00A43535">
        <w:rPr>
          <w:rFonts w:eastAsia="Calibri" w:cs="Calibri"/>
          <w:lang w:val="nl"/>
        </w:rPr>
        <w:t>.</w:t>
      </w:r>
    </w:p>
    <w:p w:rsidR="00EC598A" w:rsidRPr="00A43535" w:rsidRDefault="00EC598A" w:rsidP="00A43535">
      <w:pPr>
        <w:spacing w:line="240" w:lineRule="auto"/>
      </w:pPr>
    </w:p>
    <w:p w:rsidR="00EC598A" w:rsidRPr="00A43535" w:rsidRDefault="49434E9A" w:rsidP="00A43535">
      <w:pPr>
        <w:pStyle w:val="Kop2"/>
        <w:spacing w:line="240" w:lineRule="auto"/>
        <w:rPr>
          <w:rFonts w:asciiTheme="minorHAnsi" w:eastAsia="Calibri" w:hAnsiTheme="minorHAnsi"/>
          <w:sz w:val="22"/>
          <w:szCs w:val="22"/>
          <w:lang w:val="nl"/>
        </w:rPr>
      </w:pPr>
      <w:r w:rsidRPr="00A43535">
        <w:rPr>
          <w:rFonts w:asciiTheme="minorHAnsi" w:eastAsia="Calibri" w:hAnsiTheme="minorHAnsi"/>
          <w:sz w:val="22"/>
          <w:szCs w:val="22"/>
          <w:lang w:val="nl"/>
        </w:rPr>
        <w:t>Financieel verlies</w:t>
      </w:r>
    </w:p>
    <w:p w:rsidR="004341D7" w:rsidRDefault="004341D7" w:rsidP="00A43535">
      <w:pPr>
        <w:spacing w:line="240" w:lineRule="auto"/>
        <w:rPr>
          <w:lang w:val="nl"/>
        </w:rPr>
      </w:pPr>
    </w:p>
    <w:p w:rsidR="005E0BE5" w:rsidRDefault="005E0BE5" w:rsidP="00A43535">
      <w:pPr>
        <w:spacing w:line="240" w:lineRule="auto"/>
        <w:rPr>
          <w:lang w:val="nl"/>
        </w:rPr>
      </w:pPr>
      <w:r>
        <w:rPr>
          <w:lang w:val="nl"/>
        </w:rPr>
        <w:t>Tabel</w:t>
      </w:r>
      <w:r w:rsidR="00ED22E9">
        <w:rPr>
          <w:lang w:val="nl"/>
        </w:rPr>
        <w:t xml:space="preserve"> 1 geeft </w:t>
      </w:r>
      <w:r w:rsidR="00A43535" w:rsidRPr="00A43535">
        <w:rPr>
          <w:lang w:val="nl"/>
        </w:rPr>
        <w:t>een overzicht van de schaderamingen doorgegeven</w:t>
      </w:r>
      <w:r w:rsidR="0042007A">
        <w:rPr>
          <w:lang w:val="nl"/>
        </w:rPr>
        <w:t xml:space="preserve"> door de verschillende steden en gemeenten</w:t>
      </w:r>
      <w:r w:rsidR="00A43535" w:rsidRPr="00A43535">
        <w:rPr>
          <w:lang w:val="nl"/>
        </w:rPr>
        <w:t xml:space="preserve"> en de bijhorende som van geraamde geleden schade. Deze som van geleden schade werd berekend op basis van schadepercentages, aantal beschadigde hectaren en gemiddelde marktprijzen per teelt.</w:t>
      </w:r>
      <w:r>
        <w:rPr>
          <w:lang w:val="nl"/>
        </w:rPr>
        <w:t xml:space="preserve"> </w:t>
      </w:r>
    </w:p>
    <w:p w:rsidR="00F20EE2" w:rsidRDefault="00F20EE2" w:rsidP="00A43535">
      <w:pPr>
        <w:spacing w:line="240" w:lineRule="auto"/>
        <w:rPr>
          <w:lang w:val="nl"/>
        </w:rPr>
      </w:pPr>
    </w:p>
    <w:p w:rsidR="00A43535" w:rsidRPr="00F20EE2" w:rsidRDefault="005E0BE5" w:rsidP="00A43535">
      <w:pPr>
        <w:spacing w:line="240" w:lineRule="auto"/>
        <w:rPr>
          <w:b/>
          <w:lang w:val="nl"/>
        </w:rPr>
      </w:pPr>
      <w:r w:rsidRPr="00F20EE2">
        <w:rPr>
          <w:b/>
          <w:lang w:val="nl"/>
        </w:rPr>
        <w:t>Tabel 1. S</w:t>
      </w:r>
      <w:r w:rsidR="00A43535" w:rsidRPr="00F20EE2">
        <w:rPr>
          <w:b/>
          <w:lang w:val="nl"/>
        </w:rPr>
        <w:t xml:space="preserve">chadebedrag per teelt en </w:t>
      </w:r>
      <w:r w:rsidRPr="00F20EE2">
        <w:rPr>
          <w:b/>
          <w:lang w:val="nl"/>
        </w:rPr>
        <w:t>totale schade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2"/>
        <w:gridCol w:w="3010"/>
      </w:tblGrid>
      <w:tr w:rsidR="005E0BE5" w:rsidRPr="00DD451F" w:rsidTr="00F20EE2">
        <w:trPr>
          <w:trHeight w:val="300"/>
        </w:trPr>
        <w:tc>
          <w:tcPr>
            <w:tcW w:w="6232" w:type="dxa"/>
            <w:shd w:val="clear" w:color="auto" w:fill="DBDBDB" w:themeFill="accent3" w:themeFillTint="66"/>
            <w:noWrap/>
            <w:hideMark/>
          </w:tcPr>
          <w:p w:rsidR="005E0BE5" w:rsidRPr="00DD451F" w:rsidRDefault="005E0BE5" w:rsidP="007A6BB2">
            <w:r>
              <w:t>Teelten</w:t>
            </w:r>
          </w:p>
        </w:tc>
        <w:tc>
          <w:tcPr>
            <w:tcW w:w="3010" w:type="dxa"/>
            <w:shd w:val="clear" w:color="auto" w:fill="DBDBDB" w:themeFill="accent3" w:themeFillTint="66"/>
            <w:noWrap/>
            <w:hideMark/>
          </w:tcPr>
          <w:p w:rsidR="005E0BE5" w:rsidRPr="00DD451F" w:rsidRDefault="005E0BE5" w:rsidP="007A6BB2">
            <w:r w:rsidRPr="00DD451F">
              <w:t>Som van geleden schade (euro)</w:t>
            </w:r>
          </w:p>
        </w:tc>
      </w:tr>
      <w:tr w:rsidR="008F631E" w:rsidRPr="00DD451F" w:rsidTr="00665F7D">
        <w:trPr>
          <w:trHeight w:val="300"/>
        </w:trPr>
        <w:tc>
          <w:tcPr>
            <w:tcW w:w="6232" w:type="dxa"/>
            <w:noWrap/>
            <w:vAlign w:val="bottom"/>
            <w:hideMark/>
          </w:tcPr>
          <w:p w:rsidR="008F631E" w:rsidRPr="00DD451F" w:rsidRDefault="008F631E" w:rsidP="007A6BB2">
            <w:r w:rsidRPr="008F631E">
              <w:t>Akkerbouwgewassen</w:t>
            </w:r>
          </w:p>
        </w:tc>
        <w:tc>
          <w:tcPr>
            <w:tcW w:w="3010" w:type="dxa"/>
            <w:noWrap/>
            <w:vAlign w:val="bottom"/>
            <w:hideMark/>
          </w:tcPr>
          <w:p w:rsidR="008F631E" w:rsidRPr="00DD451F" w:rsidRDefault="008F631E" w:rsidP="007A6BB2">
            <w:r w:rsidRPr="008F631E">
              <w:t>€ 45.800.428,00</w:t>
            </w:r>
          </w:p>
        </w:tc>
      </w:tr>
      <w:tr w:rsidR="008F631E" w:rsidRPr="00DD451F" w:rsidTr="00665F7D">
        <w:trPr>
          <w:trHeight w:val="300"/>
        </w:trPr>
        <w:tc>
          <w:tcPr>
            <w:tcW w:w="6232" w:type="dxa"/>
            <w:noWrap/>
            <w:vAlign w:val="bottom"/>
            <w:hideMark/>
          </w:tcPr>
          <w:p w:rsidR="008F631E" w:rsidRPr="00DD451F" w:rsidRDefault="008F631E" w:rsidP="007A6BB2">
            <w:r w:rsidRPr="008F631E">
              <w:t>Boomkweek</w:t>
            </w:r>
          </w:p>
        </w:tc>
        <w:tc>
          <w:tcPr>
            <w:tcW w:w="3010" w:type="dxa"/>
            <w:noWrap/>
            <w:vAlign w:val="bottom"/>
            <w:hideMark/>
          </w:tcPr>
          <w:p w:rsidR="008F631E" w:rsidRPr="00DD451F" w:rsidRDefault="008F631E" w:rsidP="007A6BB2">
            <w:r w:rsidRPr="008F631E">
              <w:t>€ 1.689.760,15</w:t>
            </w:r>
          </w:p>
        </w:tc>
      </w:tr>
      <w:tr w:rsidR="008F631E" w:rsidRPr="00DD451F" w:rsidTr="00665F7D">
        <w:trPr>
          <w:trHeight w:val="300"/>
        </w:trPr>
        <w:tc>
          <w:tcPr>
            <w:tcW w:w="6232" w:type="dxa"/>
            <w:noWrap/>
            <w:vAlign w:val="bottom"/>
            <w:hideMark/>
          </w:tcPr>
          <w:p w:rsidR="008F631E" w:rsidRPr="00DD451F" w:rsidRDefault="008F631E" w:rsidP="007A6BB2">
            <w:r w:rsidRPr="008F631E">
              <w:t>Fruitteelt</w:t>
            </w:r>
          </w:p>
        </w:tc>
        <w:tc>
          <w:tcPr>
            <w:tcW w:w="3010" w:type="dxa"/>
            <w:noWrap/>
            <w:vAlign w:val="bottom"/>
            <w:hideMark/>
          </w:tcPr>
          <w:p w:rsidR="008F631E" w:rsidRPr="00DD451F" w:rsidRDefault="008F631E" w:rsidP="007A6BB2">
            <w:r w:rsidRPr="008F631E">
              <w:t>€ 1.622.523,18</w:t>
            </w:r>
          </w:p>
        </w:tc>
      </w:tr>
      <w:tr w:rsidR="008F631E" w:rsidRPr="00DD451F" w:rsidTr="00665F7D">
        <w:trPr>
          <w:trHeight w:val="300"/>
        </w:trPr>
        <w:tc>
          <w:tcPr>
            <w:tcW w:w="6232" w:type="dxa"/>
            <w:noWrap/>
            <w:vAlign w:val="bottom"/>
            <w:hideMark/>
          </w:tcPr>
          <w:p w:rsidR="008F631E" w:rsidRPr="00DD451F" w:rsidRDefault="008F631E" w:rsidP="007A6BB2">
            <w:r w:rsidRPr="008F631E">
              <w:t>Groenten</w:t>
            </w:r>
          </w:p>
        </w:tc>
        <w:tc>
          <w:tcPr>
            <w:tcW w:w="3010" w:type="dxa"/>
            <w:noWrap/>
            <w:vAlign w:val="bottom"/>
            <w:hideMark/>
          </w:tcPr>
          <w:p w:rsidR="008F631E" w:rsidRPr="00DD451F" w:rsidRDefault="008F631E" w:rsidP="007A6BB2">
            <w:r w:rsidRPr="008F631E">
              <w:t>€ 31.282.398,62</w:t>
            </w:r>
          </w:p>
        </w:tc>
      </w:tr>
      <w:tr w:rsidR="008F631E" w:rsidRPr="00DD451F" w:rsidTr="00665F7D">
        <w:trPr>
          <w:trHeight w:val="300"/>
        </w:trPr>
        <w:tc>
          <w:tcPr>
            <w:tcW w:w="6232" w:type="dxa"/>
            <w:noWrap/>
            <w:vAlign w:val="bottom"/>
            <w:hideMark/>
          </w:tcPr>
          <w:p w:rsidR="008F631E" w:rsidRPr="00DD451F" w:rsidRDefault="008F631E" w:rsidP="007A6BB2">
            <w:r w:rsidRPr="008F631E">
              <w:t>Nijverheidsgewassen</w:t>
            </w:r>
          </w:p>
        </w:tc>
        <w:tc>
          <w:tcPr>
            <w:tcW w:w="3010" w:type="dxa"/>
            <w:noWrap/>
            <w:vAlign w:val="bottom"/>
            <w:hideMark/>
          </w:tcPr>
          <w:p w:rsidR="008F631E" w:rsidRPr="00DD451F" w:rsidRDefault="008F631E" w:rsidP="007A6BB2">
            <w:r w:rsidRPr="008F631E">
              <w:t>€ 3.627.909,85</w:t>
            </w:r>
          </w:p>
        </w:tc>
      </w:tr>
      <w:tr w:rsidR="008F631E" w:rsidRPr="00DD451F" w:rsidTr="00665F7D">
        <w:trPr>
          <w:trHeight w:val="300"/>
        </w:trPr>
        <w:tc>
          <w:tcPr>
            <w:tcW w:w="6232" w:type="dxa"/>
            <w:noWrap/>
            <w:vAlign w:val="bottom"/>
            <w:hideMark/>
          </w:tcPr>
          <w:p w:rsidR="008F631E" w:rsidRPr="00DD451F" w:rsidRDefault="008F631E" w:rsidP="007A6BB2">
            <w:r w:rsidRPr="008F631E">
              <w:t>Sierteelt</w:t>
            </w:r>
          </w:p>
        </w:tc>
        <w:tc>
          <w:tcPr>
            <w:tcW w:w="3010" w:type="dxa"/>
            <w:noWrap/>
            <w:vAlign w:val="bottom"/>
            <w:hideMark/>
          </w:tcPr>
          <w:p w:rsidR="008F631E" w:rsidRPr="00DD451F" w:rsidRDefault="008F631E" w:rsidP="007A6BB2">
            <w:r w:rsidRPr="008F631E">
              <w:t>€ 258.829,51</w:t>
            </w:r>
          </w:p>
        </w:tc>
      </w:tr>
      <w:tr w:rsidR="008F631E" w:rsidRPr="00DD451F" w:rsidTr="00665F7D">
        <w:trPr>
          <w:trHeight w:val="300"/>
        </w:trPr>
        <w:tc>
          <w:tcPr>
            <w:tcW w:w="6232" w:type="dxa"/>
            <w:noWrap/>
            <w:vAlign w:val="bottom"/>
            <w:hideMark/>
          </w:tcPr>
          <w:p w:rsidR="008F631E" w:rsidRPr="00DD451F" w:rsidRDefault="008F631E" w:rsidP="007A6BB2">
            <w:r w:rsidRPr="008F631E">
              <w:t>Voedergewassen</w:t>
            </w:r>
          </w:p>
        </w:tc>
        <w:tc>
          <w:tcPr>
            <w:tcW w:w="3010" w:type="dxa"/>
            <w:noWrap/>
            <w:vAlign w:val="bottom"/>
            <w:hideMark/>
          </w:tcPr>
          <w:p w:rsidR="008F631E" w:rsidRPr="00DD451F" w:rsidRDefault="008F631E" w:rsidP="007A6BB2">
            <w:r w:rsidRPr="008F631E">
              <w:t>€ 14.400.415,32</w:t>
            </w:r>
          </w:p>
        </w:tc>
      </w:tr>
      <w:tr w:rsidR="005E0BE5" w:rsidRPr="00FF70B6" w:rsidTr="00F20EE2">
        <w:trPr>
          <w:trHeight w:val="300"/>
        </w:trPr>
        <w:tc>
          <w:tcPr>
            <w:tcW w:w="6232" w:type="dxa"/>
            <w:noWrap/>
            <w:hideMark/>
          </w:tcPr>
          <w:p w:rsidR="005E0BE5" w:rsidRPr="00FF70B6" w:rsidRDefault="00DC31AF" w:rsidP="00DC31AF">
            <w:pPr>
              <w:rPr>
                <w:b/>
              </w:rPr>
            </w:pPr>
            <w:r>
              <w:rPr>
                <w:b/>
              </w:rPr>
              <w:t>Eindt</w:t>
            </w:r>
            <w:r w:rsidR="005E0BE5" w:rsidRPr="00FF70B6">
              <w:rPr>
                <w:b/>
              </w:rPr>
              <w:t>otaal</w:t>
            </w:r>
          </w:p>
        </w:tc>
        <w:tc>
          <w:tcPr>
            <w:tcW w:w="3010" w:type="dxa"/>
            <w:noWrap/>
            <w:hideMark/>
          </w:tcPr>
          <w:p w:rsidR="005E0BE5" w:rsidRPr="00FF70B6" w:rsidRDefault="005E0BE5" w:rsidP="008F631E">
            <w:pPr>
              <w:rPr>
                <w:b/>
              </w:rPr>
            </w:pPr>
            <w:r w:rsidRPr="00FF70B6">
              <w:rPr>
                <w:b/>
              </w:rPr>
              <w:t>€ 98.</w:t>
            </w:r>
            <w:r w:rsidR="008F631E">
              <w:rPr>
                <w:b/>
              </w:rPr>
              <w:t>682</w:t>
            </w:r>
            <w:r w:rsidRPr="00FF70B6">
              <w:rPr>
                <w:b/>
              </w:rPr>
              <w:t>.</w:t>
            </w:r>
            <w:r w:rsidR="008F631E">
              <w:rPr>
                <w:b/>
              </w:rPr>
              <w:t>264,64</w:t>
            </w:r>
          </w:p>
        </w:tc>
      </w:tr>
    </w:tbl>
    <w:p w:rsidR="005E0BE5" w:rsidRDefault="005E0BE5" w:rsidP="00A43535">
      <w:pPr>
        <w:spacing w:line="240" w:lineRule="auto"/>
        <w:rPr>
          <w:lang w:val="nl"/>
        </w:rPr>
      </w:pPr>
    </w:p>
    <w:p w:rsidR="005E0BE5" w:rsidRDefault="004341D7" w:rsidP="00A43535">
      <w:pPr>
        <w:spacing w:line="240" w:lineRule="auto"/>
        <w:rPr>
          <w:lang w:val="nl"/>
        </w:rPr>
      </w:pPr>
      <w:r>
        <w:rPr>
          <w:lang w:val="nl"/>
        </w:rPr>
        <w:t xml:space="preserve">De totale schade wordt geraamd op </w:t>
      </w:r>
      <w:r w:rsidRPr="004341D7">
        <w:rPr>
          <w:lang w:eastAsia="nl-BE"/>
        </w:rPr>
        <w:t xml:space="preserve">€ </w:t>
      </w:r>
      <w:r w:rsidR="008F631E">
        <w:rPr>
          <w:lang w:eastAsia="nl-BE"/>
        </w:rPr>
        <w:t>98.682.264,64</w:t>
      </w:r>
      <w:r w:rsidRPr="004341D7">
        <w:rPr>
          <w:lang w:eastAsia="nl-BE"/>
        </w:rPr>
        <w:t>.</w:t>
      </w:r>
      <w:r>
        <w:rPr>
          <w:lang w:eastAsia="nl-BE"/>
        </w:rPr>
        <w:t xml:space="preserve"> </w:t>
      </w:r>
      <w:r w:rsidR="00A43535" w:rsidRPr="00A43535">
        <w:rPr>
          <w:lang w:val="nl"/>
        </w:rPr>
        <w:t>Maximaal 80% van de effectieve schade kan vergoed worden.</w:t>
      </w:r>
      <w:r w:rsidR="005E0BE5">
        <w:rPr>
          <w:lang w:val="nl"/>
        </w:rPr>
        <w:t xml:space="preserve"> In Tabel 2 wordt de schade per provincie weergegeven.</w:t>
      </w:r>
    </w:p>
    <w:p w:rsidR="005E0BE5" w:rsidRDefault="005E0BE5">
      <w:pPr>
        <w:rPr>
          <w:lang w:val="nl"/>
        </w:rPr>
      </w:pPr>
      <w:r>
        <w:rPr>
          <w:lang w:val="nl"/>
        </w:rPr>
        <w:br w:type="page"/>
      </w:r>
    </w:p>
    <w:p w:rsidR="00A43535" w:rsidRPr="00A43535" w:rsidRDefault="00A43535" w:rsidP="00A43535">
      <w:pPr>
        <w:spacing w:line="240" w:lineRule="auto"/>
        <w:rPr>
          <w:lang w:val="nl"/>
        </w:rPr>
      </w:pPr>
    </w:p>
    <w:p w:rsidR="00A43535" w:rsidRPr="00F20EE2" w:rsidRDefault="005E0BE5" w:rsidP="00A43535">
      <w:pPr>
        <w:spacing w:line="240" w:lineRule="auto"/>
        <w:rPr>
          <w:b/>
          <w:lang w:val="nl"/>
        </w:rPr>
      </w:pPr>
      <w:r w:rsidRPr="00F20EE2">
        <w:rPr>
          <w:b/>
          <w:lang w:val="nl"/>
        </w:rPr>
        <w:t xml:space="preserve">Tabel 2. </w:t>
      </w:r>
      <w:r w:rsidR="004341D7" w:rsidRPr="00F20EE2">
        <w:rPr>
          <w:b/>
          <w:lang w:val="nl"/>
        </w:rPr>
        <w:t>Schade per provincie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A43535" w:rsidRPr="00A43535" w:rsidTr="005E0BE5">
        <w:tc>
          <w:tcPr>
            <w:tcW w:w="4583" w:type="dxa"/>
            <w:shd w:val="clear" w:color="auto" w:fill="D9D9D9" w:themeFill="background1" w:themeFillShade="D9"/>
          </w:tcPr>
          <w:p w:rsidR="00A43535" w:rsidRPr="00A43535" w:rsidRDefault="00A43535" w:rsidP="00A43535">
            <w:pPr>
              <w:spacing w:after="160"/>
              <w:rPr>
                <w:lang w:val="nl"/>
              </w:rPr>
            </w:pPr>
            <w:r w:rsidRPr="00A43535">
              <w:rPr>
                <w:lang w:val="nl"/>
              </w:rPr>
              <w:t>Provincie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:rsidR="00A43535" w:rsidRPr="00A43535" w:rsidRDefault="005E0BE5" w:rsidP="00A43535">
            <w:pPr>
              <w:spacing w:after="160"/>
              <w:rPr>
                <w:lang w:val="nl"/>
              </w:rPr>
            </w:pPr>
            <w:r>
              <w:rPr>
                <w:lang w:val="nl"/>
              </w:rPr>
              <w:t>Schade</w:t>
            </w:r>
          </w:p>
        </w:tc>
      </w:tr>
      <w:tr w:rsidR="004341D7" w:rsidRPr="00A43535" w:rsidTr="007A6BB2">
        <w:tc>
          <w:tcPr>
            <w:tcW w:w="4583" w:type="dxa"/>
          </w:tcPr>
          <w:p w:rsidR="004341D7" w:rsidRPr="00A43535" w:rsidRDefault="004341D7" w:rsidP="00A43535">
            <w:pPr>
              <w:spacing w:after="160"/>
              <w:rPr>
                <w:lang w:val="nl"/>
              </w:rPr>
            </w:pPr>
            <w:r w:rsidRPr="00A43535">
              <w:rPr>
                <w:lang w:val="nl"/>
              </w:rPr>
              <w:t>Antwerpen</w:t>
            </w:r>
          </w:p>
        </w:tc>
        <w:tc>
          <w:tcPr>
            <w:tcW w:w="4583" w:type="dxa"/>
            <w:vAlign w:val="bottom"/>
          </w:tcPr>
          <w:p w:rsidR="004341D7" w:rsidRPr="00A43535" w:rsidRDefault="004341D7" w:rsidP="00A43535">
            <w:pPr>
              <w:spacing w:after="160"/>
              <w:rPr>
                <w:lang w:val="nl"/>
              </w:rPr>
            </w:pPr>
            <w:r>
              <w:rPr>
                <w:lang w:eastAsia="nl-BE"/>
              </w:rPr>
              <w:t>€ 1.120.101,24</w:t>
            </w:r>
          </w:p>
        </w:tc>
      </w:tr>
      <w:tr w:rsidR="004341D7" w:rsidRPr="00A43535" w:rsidTr="007A6BB2">
        <w:tc>
          <w:tcPr>
            <w:tcW w:w="4583" w:type="dxa"/>
          </w:tcPr>
          <w:p w:rsidR="004341D7" w:rsidRPr="00A43535" w:rsidRDefault="004341D7" w:rsidP="00A43535">
            <w:pPr>
              <w:spacing w:after="160"/>
              <w:rPr>
                <w:lang w:val="nl"/>
              </w:rPr>
            </w:pPr>
            <w:r w:rsidRPr="00A43535">
              <w:rPr>
                <w:lang w:val="nl"/>
              </w:rPr>
              <w:t>Vlaams-Brabant</w:t>
            </w:r>
          </w:p>
        </w:tc>
        <w:tc>
          <w:tcPr>
            <w:tcW w:w="4583" w:type="dxa"/>
            <w:vAlign w:val="bottom"/>
          </w:tcPr>
          <w:p w:rsidR="004341D7" w:rsidRPr="00A43535" w:rsidRDefault="004341D7" w:rsidP="00A43535">
            <w:pPr>
              <w:spacing w:after="160"/>
              <w:rPr>
                <w:lang w:val="nl"/>
              </w:rPr>
            </w:pPr>
            <w:r>
              <w:rPr>
                <w:lang w:eastAsia="nl-BE"/>
              </w:rPr>
              <w:t>€ 1.737.099,36</w:t>
            </w:r>
          </w:p>
        </w:tc>
      </w:tr>
      <w:tr w:rsidR="004341D7" w:rsidRPr="00A43535" w:rsidTr="007A6BB2">
        <w:tc>
          <w:tcPr>
            <w:tcW w:w="4583" w:type="dxa"/>
          </w:tcPr>
          <w:p w:rsidR="004341D7" w:rsidRPr="00A43535" w:rsidRDefault="004341D7" w:rsidP="00A43535">
            <w:pPr>
              <w:spacing w:after="160"/>
              <w:rPr>
                <w:lang w:val="nl"/>
              </w:rPr>
            </w:pPr>
            <w:r w:rsidRPr="00A43535">
              <w:rPr>
                <w:lang w:val="nl"/>
              </w:rPr>
              <w:t>West-Vlaanderen</w:t>
            </w:r>
          </w:p>
        </w:tc>
        <w:tc>
          <w:tcPr>
            <w:tcW w:w="4583" w:type="dxa"/>
            <w:vAlign w:val="bottom"/>
          </w:tcPr>
          <w:p w:rsidR="004341D7" w:rsidRPr="00A43535" w:rsidRDefault="004341D7" w:rsidP="008F631E">
            <w:pPr>
              <w:spacing w:after="160"/>
              <w:rPr>
                <w:lang w:val="nl"/>
              </w:rPr>
            </w:pPr>
            <w:r>
              <w:rPr>
                <w:lang w:eastAsia="nl-BE"/>
              </w:rPr>
              <w:t>€ 83.3</w:t>
            </w:r>
            <w:r w:rsidR="008F631E">
              <w:rPr>
                <w:lang w:eastAsia="nl-BE"/>
              </w:rPr>
              <w:t>11</w:t>
            </w:r>
            <w:r>
              <w:rPr>
                <w:lang w:eastAsia="nl-BE"/>
              </w:rPr>
              <w:t>.</w:t>
            </w:r>
            <w:r w:rsidR="008F631E">
              <w:rPr>
                <w:lang w:eastAsia="nl-BE"/>
              </w:rPr>
              <w:t>948</w:t>
            </w:r>
            <w:r>
              <w:rPr>
                <w:lang w:eastAsia="nl-BE"/>
              </w:rPr>
              <w:t>,</w:t>
            </w:r>
            <w:r w:rsidR="008F631E">
              <w:rPr>
                <w:lang w:eastAsia="nl-BE"/>
              </w:rPr>
              <w:t>96</w:t>
            </w:r>
          </w:p>
        </w:tc>
      </w:tr>
      <w:tr w:rsidR="004341D7" w:rsidRPr="00A43535" w:rsidTr="007A6BB2">
        <w:tc>
          <w:tcPr>
            <w:tcW w:w="4583" w:type="dxa"/>
          </w:tcPr>
          <w:p w:rsidR="004341D7" w:rsidRPr="00A43535" w:rsidRDefault="004341D7" w:rsidP="00A43535">
            <w:pPr>
              <w:spacing w:after="160"/>
              <w:rPr>
                <w:lang w:val="nl"/>
              </w:rPr>
            </w:pPr>
            <w:r w:rsidRPr="00A43535">
              <w:rPr>
                <w:lang w:val="nl"/>
              </w:rPr>
              <w:t>Oost-Vlaanderen</w:t>
            </w:r>
          </w:p>
        </w:tc>
        <w:tc>
          <w:tcPr>
            <w:tcW w:w="4583" w:type="dxa"/>
            <w:vAlign w:val="bottom"/>
          </w:tcPr>
          <w:p w:rsidR="004341D7" w:rsidRPr="00A43535" w:rsidRDefault="004341D7" w:rsidP="008F631E">
            <w:pPr>
              <w:spacing w:after="160"/>
              <w:rPr>
                <w:lang w:val="nl"/>
              </w:rPr>
            </w:pPr>
            <w:r>
              <w:rPr>
                <w:lang w:eastAsia="nl-BE"/>
              </w:rPr>
              <w:t>€ 10.388.</w:t>
            </w:r>
            <w:r w:rsidR="008F631E">
              <w:rPr>
                <w:lang w:eastAsia="nl-BE"/>
              </w:rPr>
              <w:t>839,3</w:t>
            </w:r>
            <w:r>
              <w:rPr>
                <w:lang w:eastAsia="nl-BE"/>
              </w:rPr>
              <w:t>6</w:t>
            </w:r>
          </w:p>
        </w:tc>
      </w:tr>
      <w:tr w:rsidR="004341D7" w:rsidRPr="00A43535" w:rsidTr="005E0BE5">
        <w:tc>
          <w:tcPr>
            <w:tcW w:w="4583" w:type="dxa"/>
            <w:tcBorders>
              <w:bottom w:val="single" w:sz="4" w:space="0" w:color="auto"/>
            </w:tcBorders>
          </w:tcPr>
          <w:p w:rsidR="004341D7" w:rsidRPr="00A43535" w:rsidRDefault="004341D7" w:rsidP="00A43535">
            <w:pPr>
              <w:spacing w:after="160"/>
              <w:rPr>
                <w:lang w:val="nl"/>
              </w:rPr>
            </w:pPr>
            <w:r w:rsidRPr="00A43535">
              <w:rPr>
                <w:lang w:val="nl"/>
              </w:rPr>
              <w:t>Limburg</w:t>
            </w:r>
          </w:p>
        </w:tc>
        <w:tc>
          <w:tcPr>
            <w:tcW w:w="4583" w:type="dxa"/>
            <w:tcBorders>
              <w:bottom w:val="single" w:sz="4" w:space="0" w:color="auto"/>
            </w:tcBorders>
            <w:vAlign w:val="bottom"/>
          </w:tcPr>
          <w:p w:rsidR="004341D7" w:rsidRPr="00A43535" w:rsidRDefault="004341D7" w:rsidP="00A43535">
            <w:pPr>
              <w:spacing w:after="160"/>
              <w:rPr>
                <w:lang w:val="nl"/>
              </w:rPr>
            </w:pPr>
            <w:r>
              <w:rPr>
                <w:lang w:eastAsia="nl-BE"/>
              </w:rPr>
              <w:t>€ 2.124.275,97</w:t>
            </w:r>
          </w:p>
        </w:tc>
      </w:tr>
      <w:tr w:rsidR="00A43535" w:rsidRPr="00A43535" w:rsidTr="005E0BE5">
        <w:tc>
          <w:tcPr>
            <w:tcW w:w="4583" w:type="dxa"/>
            <w:shd w:val="clear" w:color="auto" w:fill="D9D9D9" w:themeFill="background1" w:themeFillShade="D9"/>
          </w:tcPr>
          <w:p w:rsidR="00A43535" w:rsidRPr="004341D7" w:rsidRDefault="004341D7" w:rsidP="00A43535">
            <w:pPr>
              <w:spacing w:after="160"/>
              <w:rPr>
                <w:b/>
                <w:lang w:val="nl"/>
              </w:rPr>
            </w:pPr>
            <w:r>
              <w:rPr>
                <w:b/>
                <w:lang w:val="nl"/>
              </w:rPr>
              <w:t>Eind</w:t>
            </w:r>
            <w:r w:rsidR="00A43535" w:rsidRPr="004341D7">
              <w:rPr>
                <w:b/>
                <w:lang w:val="nl"/>
              </w:rPr>
              <w:t>totaal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:rsidR="00A43535" w:rsidRPr="004341D7" w:rsidRDefault="004341D7" w:rsidP="008F631E">
            <w:pPr>
              <w:spacing w:after="160"/>
              <w:rPr>
                <w:b/>
                <w:lang w:val="nl"/>
              </w:rPr>
            </w:pPr>
            <w:r w:rsidRPr="004341D7">
              <w:rPr>
                <w:b/>
                <w:lang w:eastAsia="nl-BE"/>
              </w:rPr>
              <w:t xml:space="preserve">€ </w:t>
            </w:r>
            <w:r w:rsidR="008F631E">
              <w:rPr>
                <w:b/>
                <w:lang w:eastAsia="nl-BE"/>
              </w:rPr>
              <w:t>98.682.264,64</w:t>
            </w:r>
          </w:p>
        </w:tc>
      </w:tr>
    </w:tbl>
    <w:p w:rsidR="00A43535" w:rsidRDefault="00A43535" w:rsidP="00A43535">
      <w:pPr>
        <w:spacing w:line="240" w:lineRule="auto"/>
        <w:rPr>
          <w:lang w:val="nl"/>
        </w:rPr>
      </w:pPr>
    </w:p>
    <w:p w:rsidR="004A562F" w:rsidRDefault="005E0BE5" w:rsidP="00A43535">
      <w:pPr>
        <w:spacing w:line="240" w:lineRule="auto"/>
        <w:rPr>
          <w:lang w:val="nl"/>
        </w:rPr>
      </w:pPr>
      <w:r>
        <w:rPr>
          <w:lang w:val="nl"/>
        </w:rPr>
        <w:t xml:space="preserve">Het totaal </w:t>
      </w:r>
      <w:r w:rsidRPr="002D0038">
        <w:rPr>
          <w:b/>
          <w:lang w:val="nl"/>
        </w:rPr>
        <w:t>aantal schadelijders</w:t>
      </w:r>
      <w:r>
        <w:rPr>
          <w:lang w:val="nl"/>
        </w:rPr>
        <w:t xml:space="preserve"> is </w:t>
      </w:r>
      <w:r w:rsidR="00F30D47">
        <w:rPr>
          <w:lang w:val="nl"/>
        </w:rPr>
        <w:t xml:space="preserve">ca. </w:t>
      </w:r>
      <w:r w:rsidR="00F20EE2">
        <w:rPr>
          <w:b/>
          <w:lang w:val="nl"/>
        </w:rPr>
        <w:t>4.</w:t>
      </w:r>
      <w:r w:rsidR="00F30D47">
        <w:rPr>
          <w:b/>
          <w:lang w:val="nl"/>
        </w:rPr>
        <w:t>1</w:t>
      </w:r>
      <w:r w:rsidR="00F20EE2">
        <w:rPr>
          <w:b/>
          <w:lang w:val="nl"/>
        </w:rPr>
        <w:t>00</w:t>
      </w:r>
      <w:r>
        <w:rPr>
          <w:lang w:val="nl"/>
        </w:rPr>
        <w:t>.</w:t>
      </w:r>
      <w:r w:rsidR="002D0038">
        <w:rPr>
          <w:lang w:val="nl"/>
        </w:rPr>
        <w:t xml:space="preserve"> Het g</w:t>
      </w:r>
      <w:r w:rsidR="00A43535" w:rsidRPr="00A43535">
        <w:rPr>
          <w:lang w:val="nl"/>
        </w:rPr>
        <w:t>emiddeld finan</w:t>
      </w:r>
      <w:r w:rsidR="004A562F">
        <w:rPr>
          <w:lang w:val="nl"/>
        </w:rPr>
        <w:t>cieel verlies per schadelijder</w:t>
      </w:r>
      <w:r w:rsidR="002D0038">
        <w:rPr>
          <w:lang w:val="nl"/>
        </w:rPr>
        <w:t xml:space="preserve"> is dus</w:t>
      </w:r>
      <w:r w:rsidR="004A562F">
        <w:rPr>
          <w:lang w:val="nl"/>
        </w:rPr>
        <w:t xml:space="preserve">: </w:t>
      </w:r>
      <w:r w:rsidR="00F20EE2">
        <w:rPr>
          <w:lang w:val="nl"/>
        </w:rPr>
        <w:t>2</w:t>
      </w:r>
      <w:r w:rsidR="00F30D47">
        <w:rPr>
          <w:lang w:val="nl"/>
        </w:rPr>
        <w:t>4</w:t>
      </w:r>
      <w:r w:rsidR="00F20EE2">
        <w:rPr>
          <w:lang w:val="nl"/>
        </w:rPr>
        <w:t>.</w:t>
      </w:r>
      <w:r w:rsidR="00F30D47">
        <w:rPr>
          <w:lang w:val="nl"/>
        </w:rPr>
        <w:t>0</w:t>
      </w:r>
      <w:r w:rsidR="008F631E">
        <w:rPr>
          <w:lang w:val="nl"/>
        </w:rPr>
        <w:t>69</w:t>
      </w:r>
      <w:r w:rsidR="00A43535" w:rsidRPr="00A43535">
        <w:rPr>
          <w:lang w:val="nl"/>
        </w:rPr>
        <w:t xml:space="preserve"> euro. </w:t>
      </w:r>
    </w:p>
    <w:p w:rsidR="00A43535" w:rsidRPr="00A43535" w:rsidRDefault="00A43535" w:rsidP="00A43535">
      <w:pPr>
        <w:spacing w:line="240" w:lineRule="auto"/>
        <w:rPr>
          <w:lang w:val="nl"/>
        </w:rPr>
      </w:pPr>
      <w:r>
        <w:rPr>
          <w:lang w:val="nl"/>
        </w:rPr>
        <w:t xml:space="preserve">Er is dus voldaan aan de </w:t>
      </w:r>
      <w:r w:rsidR="002D0038">
        <w:rPr>
          <w:lang w:val="nl"/>
        </w:rPr>
        <w:t>beide erkennings</w:t>
      </w:r>
      <w:r>
        <w:rPr>
          <w:lang w:val="nl"/>
        </w:rPr>
        <w:t>criteria:</w:t>
      </w:r>
    </w:p>
    <w:p w:rsidR="004969AE" w:rsidRPr="00A43535" w:rsidRDefault="00A43535" w:rsidP="002D0038">
      <w:pPr>
        <w:pStyle w:val="Lijstalinea"/>
        <w:numPr>
          <w:ilvl w:val="0"/>
          <w:numId w:val="6"/>
        </w:numPr>
        <w:spacing w:line="240" w:lineRule="auto"/>
      </w:pPr>
      <w:r w:rsidRPr="00A43535">
        <w:t xml:space="preserve">Het </w:t>
      </w:r>
      <w:r w:rsidR="009E1FB2">
        <w:t>g</w:t>
      </w:r>
      <w:r w:rsidR="004969AE" w:rsidRPr="00A43535">
        <w:t>emiddeld financieel verlies</w:t>
      </w:r>
      <w:r w:rsidRPr="00A43535">
        <w:t xml:space="preserve"> = </w:t>
      </w:r>
      <w:r w:rsidR="004969AE" w:rsidRPr="00A43535">
        <w:t>totale geraamde schade/aantal schadelijders) &gt; 5580 euro.</w:t>
      </w:r>
    </w:p>
    <w:p w:rsidR="004969AE" w:rsidRPr="00A43535" w:rsidRDefault="00E91C5C" w:rsidP="002D0038">
      <w:pPr>
        <w:pStyle w:val="Lijstalinea"/>
        <w:numPr>
          <w:ilvl w:val="0"/>
          <w:numId w:val="6"/>
        </w:numPr>
        <w:spacing w:line="240" w:lineRule="auto"/>
      </w:pPr>
      <w:r>
        <w:t>Totale schade is groter dan 1,</w:t>
      </w:r>
      <w:r w:rsidR="004969AE" w:rsidRPr="00A43535">
        <w:t xml:space="preserve">24 miljoen euro </w:t>
      </w:r>
    </w:p>
    <w:p w:rsidR="002D0038" w:rsidRDefault="002D0038" w:rsidP="00A43535">
      <w:pPr>
        <w:pStyle w:val="Kop2"/>
        <w:spacing w:line="240" w:lineRule="auto"/>
        <w:rPr>
          <w:rFonts w:asciiTheme="minorHAnsi" w:eastAsia="Calibri" w:hAnsiTheme="minorHAnsi"/>
          <w:sz w:val="22"/>
          <w:szCs w:val="22"/>
          <w:lang w:val="nl-BE"/>
        </w:rPr>
      </w:pPr>
    </w:p>
    <w:p w:rsidR="004969AE" w:rsidRPr="00A43535" w:rsidRDefault="004969AE" w:rsidP="00A43535">
      <w:pPr>
        <w:pStyle w:val="Kop2"/>
        <w:spacing w:line="240" w:lineRule="auto"/>
        <w:rPr>
          <w:rFonts w:asciiTheme="minorHAnsi" w:hAnsiTheme="minorHAnsi"/>
          <w:sz w:val="22"/>
          <w:szCs w:val="22"/>
        </w:rPr>
      </w:pPr>
      <w:r w:rsidRPr="00A43535">
        <w:rPr>
          <w:rFonts w:asciiTheme="minorHAnsi" w:eastAsia="Calibri" w:hAnsiTheme="minorHAnsi"/>
          <w:sz w:val="22"/>
          <w:szCs w:val="22"/>
          <w:lang w:val="nl-BE"/>
        </w:rPr>
        <w:t>Geografische afbakening</w:t>
      </w:r>
    </w:p>
    <w:p w:rsidR="002D0038" w:rsidRPr="00A43535" w:rsidRDefault="004969AE" w:rsidP="002D0038">
      <w:pPr>
        <w:spacing w:line="240" w:lineRule="auto"/>
        <w:rPr>
          <w:rFonts w:eastAsia="Calibri" w:cs="Calibri"/>
          <w:lang w:val="nl-BE"/>
        </w:rPr>
      </w:pPr>
      <w:r w:rsidRPr="00A43535">
        <w:rPr>
          <w:rFonts w:eastAsia="Calibri" w:cs="Calibri"/>
          <w:lang w:val="nl-BE"/>
        </w:rPr>
        <w:t xml:space="preserve">In het </w:t>
      </w:r>
      <w:r w:rsidR="00655830">
        <w:rPr>
          <w:rFonts w:eastAsia="Calibri" w:cs="Calibri"/>
          <w:lang w:val="nl-BE"/>
        </w:rPr>
        <w:t xml:space="preserve">advies </w:t>
      </w:r>
      <w:r w:rsidRPr="00A43535">
        <w:rPr>
          <w:rFonts w:eastAsia="Calibri" w:cs="Calibri"/>
          <w:lang w:val="nl-BE"/>
        </w:rPr>
        <w:t xml:space="preserve">van het KMI voldoen de </w:t>
      </w:r>
      <w:r w:rsidR="007A6BB2">
        <w:rPr>
          <w:rFonts w:eastAsia="Calibri" w:cs="Calibri"/>
          <w:lang w:val="nl-BE"/>
        </w:rPr>
        <w:t xml:space="preserve">150 </w:t>
      </w:r>
      <w:r w:rsidR="0042007A">
        <w:rPr>
          <w:rFonts w:eastAsia="Calibri" w:cs="Calibri"/>
          <w:lang w:val="nl-BE"/>
        </w:rPr>
        <w:t>steden en gemeenten</w:t>
      </w:r>
      <w:r w:rsidRPr="00A43535">
        <w:rPr>
          <w:rFonts w:eastAsia="Calibri" w:cs="Calibri"/>
          <w:lang w:val="nl-BE"/>
        </w:rPr>
        <w:t xml:space="preserve"> in </w:t>
      </w:r>
      <w:r w:rsidRPr="007A6BB2">
        <w:rPr>
          <w:rFonts w:eastAsia="Calibri" w:cs="Calibri"/>
          <w:i/>
          <w:lang w:val="nl-BE"/>
        </w:rPr>
        <w:t>bijlage 1</w:t>
      </w:r>
      <w:r w:rsidRPr="00A43535">
        <w:rPr>
          <w:rFonts w:eastAsia="Calibri" w:cs="Calibri"/>
          <w:lang w:val="nl-BE"/>
        </w:rPr>
        <w:t xml:space="preserve"> aan de terugkeerperiode van 20 jaar voor</w:t>
      </w:r>
      <w:r w:rsidR="00AE253C" w:rsidRPr="00A43535">
        <w:rPr>
          <w:rFonts w:eastAsia="Calibri" w:cs="Calibri"/>
          <w:lang w:val="nl-BE"/>
        </w:rPr>
        <w:t xml:space="preserve"> </w:t>
      </w:r>
      <w:r w:rsidR="007A6BB2">
        <w:rPr>
          <w:rFonts w:eastAsia="Calibri" w:cs="Calibri"/>
          <w:lang w:val="nl-BE"/>
        </w:rPr>
        <w:t xml:space="preserve">de </w:t>
      </w:r>
      <w:r w:rsidR="002D0038">
        <w:rPr>
          <w:rFonts w:eastAsia="Calibri" w:cs="Calibri"/>
          <w:lang w:val="nl-BE"/>
        </w:rPr>
        <w:t>regenneerslag in de periode van 1 april tot en met 30 juni 2017.</w:t>
      </w:r>
      <w:r w:rsidR="007A6BB2">
        <w:rPr>
          <w:rFonts w:eastAsia="Calibri" w:cs="Calibri"/>
          <w:lang w:val="nl-BE"/>
        </w:rPr>
        <w:t xml:space="preserve"> In 143 van deze gemeenten is droogteschade aangegeven.</w:t>
      </w:r>
    </w:p>
    <w:p w:rsidR="004969AE" w:rsidRDefault="00655830" w:rsidP="00A43535">
      <w:pPr>
        <w:spacing w:line="240" w:lineRule="auto"/>
        <w:rPr>
          <w:rFonts w:eastAsia="Calibri" w:cs="Calibri"/>
          <w:lang w:val="nl-BE"/>
        </w:rPr>
      </w:pPr>
      <w:r>
        <w:rPr>
          <w:rFonts w:eastAsia="Calibri" w:cs="Calibri"/>
          <w:lang w:val="nl-BE"/>
        </w:rPr>
        <w:t xml:space="preserve">Niettemin werd ook schade gerapporteerd door </w:t>
      </w:r>
      <w:r w:rsidR="00BE3507">
        <w:rPr>
          <w:rFonts w:eastAsia="Calibri" w:cs="Calibri"/>
          <w:lang w:val="nl-BE"/>
        </w:rPr>
        <w:t>78</w:t>
      </w:r>
      <w:r>
        <w:rPr>
          <w:rFonts w:eastAsia="Calibri" w:cs="Calibri"/>
          <w:lang w:val="nl-BE"/>
        </w:rPr>
        <w:t xml:space="preserve"> andere steden en gemeenten. </w:t>
      </w:r>
      <w:r w:rsidR="004969AE" w:rsidRPr="009A6848">
        <w:rPr>
          <w:rFonts w:eastAsia="Calibri" w:cs="Calibri"/>
          <w:lang w:val="nl-BE"/>
        </w:rPr>
        <w:t>Hier</w:t>
      </w:r>
      <w:r>
        <w:rPr>
          <w:rFonts w:eastAsia="Calibri" w:cs="Calibri"/>
          <w:lang w:val="nl-BE"/>
        </w:rPr>
        <w:t xml:space="preserve">onder volgt </w:t>
      </w:r>
      <w:r w:rsidR="004969AE" w:rsidRPr="009A6848">
        <w:rPr>
          <w:rFonts w:eastAsia="Calibri" w:cs="Calibri"/>
          <w:lang w:val="nl-BE"/>
        </w:rPr>
        <w:t xml:space="preserve"> </w:t>
      </w:r>
      <w:r>
        <w:rPr>
          <w:rFonts w:eastAsia="Calibri" w:cs="Calibri"/>
          <w:lang w:val="nl-BE"/>
        </w:rPr>
        <w:t xml:space="preserve">een </w:t>
      </w:r>
      <w:r w:rsidR="004969AE" w:rsidRPr="009A6848">
        <w:rPr>
          <w:rFonts w:eastAsia="Calibri" w:cs="Calibri"/>
          <w:lang w:val="nl-BE"/>
        </w:rPr>
        <w:t>tabel met schade</w:t>
      </w:r>
      <w:r w:rsidR="00B67EEF">
        <w:rPr>
          <w:rFonts w:eastAsia="Calibri" w:cs="Calibri"/>
          <w:lang w:val="nl-BE"/>
        </w:rPr>
        <w:t>gevallen</w:t>
      </w:r>
      <w:r w:rsidR="004969AE" w:rsidRPr="009A6848">
        <w:rPr>
          <w:rFonts w:eastAsia="Calibri" w:cs="Calibri"/>
          <w:lang w:val="nl-BE"/>
        </w:rPr>
        <w:t xml:space="preserve"> in </w:t>
      </w:r>
      <w:r w:rsidR="009B1609">
        <w:rPr>
          <w:rFonts w:eastAsia="Calibri" w:cs="Calibri"/>
          <w:lang w:val="nl-BE"/>
        </w:rPr>
        <w:t>deze gemeente</w:t>
      </w:r>
      <w:r w:rsidR="0042007A">
        <w:rPr>
          <w:rFonts w:eastAsia="Calibri" w:cs="Calibri"/>
          <w:lang w:val="nl-BE"/>
        </w:rPr>
        <w:t>n</w:t>
      </w:r>
      <w:r w:rsidR="009B1609">
        <w:rPr>
          <w:rFonts w:eastAsia="Calibri" w:cs="Calibri"/>
          <w:lang w:val="nl-BE"/>
        </w:rPr>
        <w:t>.</w:t>
      </w:r>
    </w:p>
    <w:p w:rsidR="00E7752A" w:rsidRDefault="00E7752A" w:rsidP="00A43535">
      <w:pPr>
        <w:spacing w:line="240" w:lineRule="auto"/>
        <w:rPr>
          <w:rFonts w:eastAsia="Calibri" w:cs="Calibri"/>
          <w:b/>
          <w:lang w:val="nl-BE"/>
        </w:rPr>
      </w:pPr>
      <w:r w:rsidRPr="00436151">
        <w:rPr>
          <w:rFonts w:eastAsia="Calibri" w:cs="Calibri"/>
          <w:b/>
          <w:lang w:val="nl-BE"/>
        </w:rPr>
        <w:t>Tabel 3. Schade in gemeenten die niet voorkomen om de KMI-lijst</w:t>
      </w:r>
    </w:p>
    <w:tbl>
      <w:tblPr>
        <w:tblW w:w="53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3096"/>
      </w:tblGrid>
      <w:tr w:rsidR="00F30D47" w:rsidRPr="00F30D47" w:rsidTr="00F30D47">
        <w:trPr>
          <w:trHeight w:val="300"/>
        </w:trPr>
        <w:tc>
          <w:tcPr>
            <w:tcW w:w="2236" w:type="dxa"/>
            <w:shd w:val="clear" w:color="F2FFC1" w:fill="F2FFC1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  <w:t>Gemeente</w:t>
            </w:r>
          </w:p>
        </w:tc>
        <w:tc>
          <w:tcPr>
            <w:tcW w:w="3096" w:type="dxa"/>
            <w:shd w:val="clear" w:color="F2FFC1" w:fill="F2FFC1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  <w:t>Som van geleden schade (euro)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Aartselaar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19.368,70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Assenede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319.401,98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Beerse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18.570,74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Bekkevoort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141.096,09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Berlare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18.286,01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Bertem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48.300,22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Beveren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13.052,42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Bierbeek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75.091,50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Boechout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43.695,81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Boutersem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37.551,07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Brecht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45.478,79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Bree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3.271,71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De Haan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1.159.858,28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lastRenderedPageBreak/>
              <w:t>De Panne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238.420,06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De Pinte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88.997,59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Destelbergen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30.499,34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Diest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43.549,49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Dilsen-Stokkem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9.891,33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Essen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94.518,23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Evergem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20.485,82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Geel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8.681,31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Geetbets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75.209,16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Grimbergen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24.865,00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Grobbendonk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9.040,98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Halen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50.688,07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Herent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13.219,83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Herentals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1.212,42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Herk-de-Stad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4.861,76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Holsbeek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7.716,58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Hoogstraten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73.862,97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Houthalen-Helchteren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493,65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Huldenberg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4.191,02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Ichtegem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1.678.771,82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Jabbeke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1.077.458,98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Kalmthout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54.351,65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Kampenhout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114.071,64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Kasterlee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10.461,92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Koekelare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1.325.252,21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Kortenberg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40.809,27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Kruibeke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14.119,82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Lanaken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6.852,00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Landen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101.271,16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Leuven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1.956,27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Lille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91.258,70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Lochristi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301.028,74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Lokeren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229.089,11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Lubbeek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2.598,50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Malle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2.965,12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Meeuwen-Gruitrode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62.413,86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Melle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25.585,50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Moerbeke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65.446,67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Nijlen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22.543,24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Oudenburg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759.253,93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Peer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7.163,82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Putte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4.620,00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Ranst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6.012,66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Schilde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14.048,43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lastRenderedPageBreak/>
              <w:t>Sint-Gillis-Waas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12.848,01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Sint-Niklaas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118.594,86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Steenokkerzeel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6.750,00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Stekene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1.271,13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Temse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50.634,58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Tielt-Winge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5.256,89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Tongeren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184.482,34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Torhout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1.226.852,71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Turnhout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4.066,40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Voeren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411.461,92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Vorselaar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88.684,42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Waasmunster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55.966,14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Wachtebeke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195.821,24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Westerlo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52.405,47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Wetteren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78.795,39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Wuustwezel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126.800,77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Zedelgem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1.159.780,45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Zelzate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7.466,26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Zemst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1.060,05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Zoutleeuw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3.344,61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Zwijndrecht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3.915,99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Antwerpen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lang w:val="nl-BE" w:eastAsia="nl-BE"/>
              </w:rPr>
              <w:t>761,11</w:t>
            </w:r>
          </w:p>
        </w:tc>
      </w:tr>
      <w:tr w:rsidR="00F30D47" w:rsidRPr="00F30D47" w:rsidTr="00F30D47">
        <w:trPr>
          <w:trHeight w:val="300"/>
        </w:trPr>
        <w:tc>
          <w:tcPr>
            <w:tcW w:w="2236" w:type="dxa"/>
            <w:shd w:val="clear" w:color="F2FFC1" w:fill="F2FFC1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  <w:t>Eindtotaal</w:t>
            </w:r>
          </w:p>
        </w:tc>
        <w:tc>
          <w:tcPr>
            <w:tcW w:w="3096" w:type="dxa"/>
            <w:shd w:val="clear" w:color="F2FFC1" w:fill="F2FFC1"/>
            <w:noWrap/>
            <w:vAlign w:val="bottom"/>
            <w:hideMark/>
          </w:tcPr>
          <w:p w:rsidR="00F30D47" w:rsidRPr="00F30D47" w:rsidRDefault="00F30D47" w:rsidP="00F30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</w:pPr>
            <w:r w:rsidRPr="00F30D47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  <w:t>12.559.853,71</w:t>
            </w:r>
          </w:p>
        </w:tc>
      </w:tr>
    </w:tbl>
    <w:p w:rsidR="00F30D47" w:rsidRDefault="00F30D47" w:rsidP="00A43535">
      <w:pPr>
        <w:spacing w:line="240" w:lineRule="auto"/>
        <w:rPr>
          <w:u w:val="single"/>
          <w:lang w:val="nl-BE"/>
        </w:rPr>
      </w:pPr>
    </w:p>
    <w:p w:rsidR="00F30D47" w:rsidRDefault="00F30D47" w:rsidP="00A43535">
      <w:pPr>
        <w:spacing w:line="240" w:lineRule="auto"/>
        <w:rPr>
          <w:u w:val="single"/>
          <w:lang w:val="nl-BE"/>
        </w:rPr>
      </w:pPr>
    </w:p>
    <w:p w:rsidR="004969AE" w:rsidRPr="000D6C47" w:rsidRDefault="004969AE" w:rsidP="00A43535">
      <w:pPr>
        <w:spacing w:line="240" w:lineRule="auto"/>
        <w:rPr>
          <w:u w:val="single"/>
        </w:rPr>
      </w:pPr>
      <w:r w:rsidRPr="000D6C47">
        <w:rPr>
          <w:u w:val="single"/>
        </w:rPr>
        <w:t>Analyse van de schade en bespreking</w:t>
      </w:r>
    </w:p>
    <w:p w:rsidR="004969AE" w:rsidRPr="00A43535" w:rsidRDefault="00DC31AF" w:rsidP="00A43535">
      <w:pPr>
        <w:spacing w:line="240" w:lineRule="auto"/>
      </w:pPr>
      <w:r>
        <w:rPr>
          <w:rFonts w:eastAsia="Calibri" w:cs="Calibri"/>
          <w:lang w:val="nl"/>
        </w:rPr>
        <w:t>Aangezien, o</w:t>
      </w:r>
      <w:r w:rsidR="008056FB">
        <w:rPr>
          <w:rFonts w:eastAsia="Calibri" w:cs="Calibri"/>
          <w:lang w:val="nl"/>
        </w:rPr>
        <w:t xml:space="preserve">p basis van de voorlopige schaderamingen kan opgemerkt worden dat de schade in de </w:t>
      </w:r>
      <w:r w:rsidR="009B1609">
        <w:rPr>
          <w:rFonts w:eastAsia="Calibri" w:cs="Calibri"/>
          <w:lang w:val="nl"/>
        </w:rPr>
        <w:t>steden en gemeenten</w:t>
      </w:r>
      <w:r w:rsidR="008056FB">
        <w:rPr>
          <w:rFonts w:eastAsia="Calibri" w:cs="Calibri"/>
          <w:lang w:val="nl"/>
        </w:rPr>
        <w:t xml:space="preserve"> die niet voorkomen op de lijst van KMI </w:t>
      </w:r>
      <w:r>
        <w:rPr>
          <w:rFonts w:eastAsia="Calibri" w:cs="Calibri"/>
          <w:lang w:val="nl"/>
        </w:rPr>
        <w:t xml:space="preserve"> lager is dan</w:t>
      </w:r>
      <w:r w:rsidR="008056FB">
        <w:rPr>
          <w:rFonts w:eastAsia="Calibri" w:cs="Calibri"/>
          <w:lang w:val="nl"/>
        </w:rPr>
        <w:t xml:space="preserve"> in de andere </w:t>
      </w:r>
      <w:r w:rsidR="009B1609">
        <w:rPr>
          <w:rFonts w:eastAsia="Calibri" w:cs="Calibri"/>
          <w:lang w:val="nl"/>
        </w:rPr>
        <w:t>steden en gemeenten,</w:t>
      </w:r>
      <w:r>
        <w:rPr>
          <w:rFonts w:eastAsia="Calibri" w:cs="Calibri"/>
          <w:lang w:val="nl"/>
        </w:rPr>
        <w:t xml:space="preserve">maar toch niet onbelangrijk, </w:t>
      </w:r>
      <w:r w:rsidR="008056FB">
        <w:rPr>
          <w:rFonts w:eastAsia="Calibri" w:cs="Calibri"/>
          <w:lang w:val="nl"/>
        </w:rPr>
        <w:t xml:space="preserve"> wordt voorgesteld </w:t>
      </w:r>
      <w:r w:rsidR="000D6C47">
        <w:rPr>
          <w:rFonts w:eastAsia="Calibri" w:cs="Calibri"/>
          <w:lang w:val="nl"/>
        </w:rPr>
        <w:t xml:space="preserve">om het </w:t>
      </w:r>
      <w:r w:rsidR="00F20EE2">
        <w:rPr>
          <w:rFonts w:eastAsia="Calibri" w:cs="Calibri"/>
          <w:lang w:val="nl"/>
        </w:rPr>
        <w:t xml:space="preserve">volledige </w:t>
      </w:r>
      <w:r w:rsidR="000D6C47">
        <w:rPr>
          <w:rFonts w:eastAsia="Calibri" w:cs="Calibri"/>
          <w:lang w:val="nl"/>
        </w:rPr>
        <w:t xml:space="preserve">Vlaamse grondgebied </w:t>
      </w:r>
      <w:r>
        <w:rPr>
          <w:rFonts w:eastAsia="Calibri" w:cs="Calibri"/>
          <w:lang w:val="nl"/>
        </w:rPr>
        <w:t xml:space="preserve">voor de droogteramp </w:t>
      </w:r>
      <w:r w:rsidR="000D6C47">
        <w:rPr>
          <w:rFonts w:eastAsia="Calibri" w:cs="Calibri"/>
          <w:lang w:val="nl"/>
        </w:rPr>
        <w:t xml:space="preserve">te </w:t>
      </w:r>
      <w:r w:rsidR="008056FB">
        <w:rPr>
          <w:rFonts w:eastAsia="Calibri" w:cs="Calibri"/>
          <w:lang w:val="nl"/>
        </w:rPr>
        <w:t>erkennen</w:t>
      </w:r>
      <w:r w:rsidR="000D6C47">
        <w:rPr>
          <w:rFonts w:eastAsia="Calibri" w:cs="Calibri"/>
          <w:lang w:val="nl"/>
        </w:rPr>
        <w:t>.</w:t>
      </w:r>
    </w:p>
    <w:p w:rsidR="009B1609" w:rsidRDefault="009B1609" w:rsidP="00A43535">
      <w:pPr>
        <w:pStyle w:val="Kop2"/>
        <w:spacing w:line="240" w:lineRule="auto"/>
        <w:rPr>
          <w:rFonts w:asciiTheme="minorHAnsi" w:eastAsia="Calibri" w:hAnsiTheme="minorHAnsi"/>
          <w:sz w:val="22"/>
          <w:szCs w:val="22"/>
          <w:lang w:val="nl"/>
        </w:rPr>
      </w:pPr>
    </w:p>
    <w:p w:rsidR="00EC598A" w:rsidRPr="00A43535" w:rsidRDefault="49434E9A" w:rsidP="00A43535">
      <w:pPr>
        <w:pStyle w:val="Kop2"/>
        <w:spacing w:line="240" w:lineRule="auto"/>
        <w:rPr>
          <w:rFonts w:asciiTheme="minorHAnsi" w:hAnsiTheme="minorHAnsi"/>
          <w:sz w:val="22"/>
          <w:szCs w:val="22"/>
        </w:rPr>
      </w:pPr>
      <w:r w:rsidRPr="00A43535">
        <w:rPr>
          <w:rFonts w:asciiTheme="minorHAnsi" w:eastAsia="Calibri" w:hAnsiTheme="minorHAnsi"/>
          <w:sz w:val="22"/>
          <w:szCs w:val="22"/>
          <w:lang w:val="nl"/>
        </w:rPr>
        <w:t>Onderzoek van het dossier en budgettaire raming</w:t>
      </w:r>
    </w:p>
    <w:p w:rsidR="009B1609" w:rsidRDefault="49434E9A" w:rsidP="00A43535">
      <w:pPr>
        <w:spacing w:line="240" w:lineRule="auto"/>
        <w:jc w:val="both"/>
        <w:rPr>
          <w:rFonts w:eastAsia="Calibri" w:cs="Calibri"/>
          <w:lang w:val="nl"/>
        </w:rPr>
      </w:pPr>
      <w:r w:rsidRPr="00A43535">
        <w:rPr>
          <w:rFonts w:eastAsia="Calibri" w:cs="Calibri"/>
          <w:lang w:val="nl"/>
        </w:rPr>
        <w:t xml:space="preserve"> </w:t>
      </w:r>
    </w:p>
    <w:p w:rsidR="00725E3F" w:rsidRPr="00A43535" w:rsidRDefault="00725E3F" w:rsidP="00A43535">
      <w:pPr>
        <w:spacing w:line="240" w:lineRule="auto"/>
        <w:jc w:val="both"/>
        <w:rPr>
          <w:rFonts w:eastAsia="Calibri" w:cs="Calibri"/>
          <w:lang w:val="nl"/>
        </w:rPr>
      </w:pPr>
      <w:r w:rsidRPr="00A43535">
        <w:rPr>
          <w:rFonts w:eastAsia="Calibri" w:cs="Calibri"/>
          <w:lang w:val="nl"/>
        </w:rPr>
        <w:t>De ramingen gebeuren op basis van gemiddelden van historische opbrengsten per gewastype.</w:t>
      </w:r>
    </w:p>
    <w:p w:rsidR="004D7950" w:rsidRDefault="004D7950" w:rsidP="00A43535">
      <w:pPr>
        <w:spacing w:line="240" w:lineRule="auto"/>
        <w:jc w:val="both"/>
        <w:rPr>
          <w:rFonts w:eastAsia="Calibri" w:cs="Calibri"/>
          <w:lang w:val="nl"/>
        </w:rPr>
      </w:pPr>
      <w:r>
        <w:rPr>
          <w:rFonts w:eastAsia="Calibri" w:cs="Calibri"/>
          <w:lang w:val="nl"/>
        </w:rPr>
        <w:t xml:space="preserve">De geschatte </w:t>
      </w:r>
      <w:r w:rsidR="0098430C">
        <w:rPr>
          <w:rFonts w:eastAsia="Calibri" w:cs="Calibri"/>
          <w:lang w:val="nl"/>
        </w:rPr>
        <w:t xml:space="preserve">maximale </w:t>
      </w:r>
      <w:r>
        <w:rPr>
          <w:rFonts w:eastAsia="Calibri" w:cs="Calibri"/>
          <w:lang w:val="nl"/>
        </w:rPr>
        <w:t>budgettaire weerslag is:</w:t>
      </w:r>
    </w:p>
    <w:p w:rsidR="008056FB" w:rsidRPr="008056FB" w:rsidRDefault="008056FB" w:rsidP="008056FB">
      <w:pPr>
        <w:pStyle w:val="Lijstalinea"/>
        <w:numPr>
          <w:ilvl w:val="0"/>
          <w:numId w:val="5"/>
        </w:numPr>
        <w:spacing w:line="240" w:lineRule="auto"/>
        <w:jc w:val="both"/>
        <w:rPr>
          <w:rFonts w:eastAsia="Calibri" w:cs="Calibri"/>
          <w:lang w:val="nl"/>
        </w:rPr>
      </w:pPr>
      <w:r w:rsidRPr="008056FB">
        <w:rPr>
          <w:rFonts w:eastAsia="Calibri" w:cs="Calibri"/>
          <w:b/>
          <w:lang w:val="nl"/>
        </w:rPr>
        <w:t>80%</w:t>
      </w:r>
      <w:r>
        <w:rPr>
          <w:rFonts w:eastAsia="Calibri" w:cs="Calibri"/>
          <w:lang w:val="nl"/>
        </w:rPr>
        <w:t xml:space="preserve"> van </w:t>
      </w:r>
      <w:r w:rsidR="002D0038" w:rsidRPr="004341D7">
        <w:rPr>
          <w:b/>
          <w:lang w:eastAsia="nl-BE"/>
        </w:rPr>
        <w:t>98.</w:t>
      </w:r>
      <w:r w:rsidR="008F631E">
        <w:rPr>
          <w:b/>
          <w:lang w:eastAsia="nl-BE"/>
        </w:rPr>
        <w:t>682.264,64</w:t>
      </w:r>
      <w:r w:rsidR="002D0038">
        <w:rPr>
          <w:b/>
          <w:lang w:eastAsia="nl-BE"/>
        </w:rPr>
        <w:t xml:space="preserve"> </w:t>
      </w:r>
      <w:r>
        <w:rPr>
          <w:lang w:val="nl"/>
        </w:rPr>
        <w:t xml:space="preserve">euro = </w:t>
      </w:r>
      <w:r w:rsidR="002D0038">
        <w:rPr>
          <w:b/>
          <w:lang w:val="nl"/>
        </w:rPr>
        <w:t>78.9</w:t>
      </w:r>
      <w:r w:rsidR="008F631E">
        <w:rPr>
          <w:b/>
          <w:lang w:val="nl"/>
        </w:rPr>
        <w:t>4</w:t>
      </w:r>
      <w:r w:rsidR="002D0038">
        <w:rPr>
          <w:b/>
          <w:lang w:val="nl"/>
        </w:rPr>
        <w:t>5.</w:t>
      </w:r>
      <w:r w:rsidR="008F631E">
        <w:rPr>
          <w:b/>
          <w:lang w:val="nl"/>
        </w:rPr>
        <w:t>812</w:t>
      </w:r>
      <w:r w:rsidRPr="008056FB">
        <w:rPr>
          <w:b/>
          <w:lang w:val="nl"/>
        </w:rPr>
        <w:t xml:space="preserve"> euro</w:t>
      </w:r>
    </w:p>
    <w:p w:rsidR="00D472DF" w:rsidRDefault="008056FB" w:rsidP="00467A45">
      <w:pPr>
        <w:spacing w:line="240" w:lineRule="auto"/>
        <w:jc w:val="both"/>
        <w:rPr>
          <w:rFonts w:eastAsia="Calibri" w:cs="Calibri"/>
          <w:lang w:val="nl"/>
        </w:rPr>
      </w:pPr>
      <w:r>
        <w:rPr>
          <w:rFonts w:eastAsia="Calibri" w:cs="Calibri"/>
          <w:lang w:val="nl"/>
        </w:rPr>
        <w:t xml:space="preserve">De budgtettaire raming is op basis van voorlopige schaderamingen en kan afwijken van de </w:t>
      </w:r>
      <w:r w:rsidR="00467A45">
        <w:rPr>
          <w:rFonts w:eastAsia="Calibri" w:cs="Calibri"/>
          <w:lang w:val="nl"/>
        </w:rPr>
        <w:t xml:space="preserve"> </w:t>
      </w:r>
      <w:r>
        <w:rPr>
          <w:rFonts w:eastAsia="Calibri" w:cs="Calibri"/>
          <w:lang w:val="nl"/>
        </w:rPr>
        <w:t>effectieve betalingen gekoppeld aan definitieve schadevaststellingen.</w:t>
      </w:r>
    </w:p>
    <w:p w:rsidR="00F07AAE" w:rsidRPr="00A43535" w:rsidRDefault="00F07AAE" w:rsidP="00F07AAE">
      <w:pPr>
        <w:spacing w:line="240" w:lineRule="auto"/>
        <w:jc w:val="both"/>
        <w:rPr>
          <w:rFonts w:eastAsia="Calibri" w:cs="Calibri"/>
          <w:lang w:val="nl"/>
        </w:rPr>
      </w:pPr>
      <w:r w:rsidRPr="00A43535">
        <w:rPr>
          <w:rFonts w:eastAsia="Calibri" w:cs="Calibri"/>
          <w:lang w:val="nl"/>
        </w:rPr>
        <w:t>Volgens Verordening (EU) nr 702/2014, artikel 25</w:t>
      </w:r>
      <w:r>
        <w:rPr>
          <w:rFonts w:eastAsia="Calibri" w:cs="Calibri"/>
          <w:lang w:val="nl"/>
        </w:rPr>
        <w:t>,</w:t>
      </w:r>
      <w:r w:rsidRPr="00A43535">
        <w:rPr>
          <w:rFonts w:eastAsia="Calibri" w:cs="Calibri"/>
          <w:lang w:val="nl"/>
        </w:rPr>
        <w:t xml:space="preserve"> moet de schadedrempel voor een vergoeding minimaal 30% van de productie van een bepaald gewas bedragen. Beperkte schade bij een landbouwer zal dus niet in aanmerking komen voor een tegemoetkoming.</w:t>
      </w:r>
    </w:p>
    <w:p w:rsidR="00F07AAE" w:rsidRPr="00A43535" w:rsidRDefault="00F07AAE" w:rsidP="00F07AAE">
      <w:pPr>
        <w:spacing w:line="240" w:lineRule="auto"/>
        <w:jc w:val="both"/>
        <w:rPr>
          <w:rFonts w:eastAsia="Calibri" w:cs="Calibri"/>
          <w:lang w:val="nl"/>
        </w:rPr>
      </w:pPr>
      <w:r w:rsidRPr="00A43535">
        <w:rPr>
          <w:rFonts w:eastAsia="Calibri" w:cs="Calibri"/>
          <w:lang w:val="nl"/>
        </w:rPr>
        <w:lastRenderedPageBreak/>
        <w:t>Daarnaast kan maximaal 80% van het inkomensverlies gecompenseerd worden via het landbouwr</w:t>
      </w:r>
      <w:r w:rsidR="0098430C">
        <w:rPr>
          <w:rFonts w:eastAsia="Calibri" w:cs="Calibri"/>
          <w:lang w:val="nl"/>
        </w:rPr>
        <w:t>ampenfonds en kan de vergoeding per schadelijder nooit meer dan 114.700 euro bedragen.</w:t>
      </w:r>
      <w:r w:rsidR="002D0038">
        <w:rPr>
          <w:rFonts w:eastAsia="Calibri" w:cs="Calibri"/>
          <w:lang w:val="nl"/>
        </w:rPr>
        <w:t xml:space="preserve"> Landbouwers die niet voor de helft van hun productie verzekerd zijn worden slechts voor 40% van het inkomensverlies gecompenseerd.</w:t>
      </w:r>
    </w:p>
    <w:p w:rsidR="00D472DF" w:rsidRPr="00A43535" w:rsidRDefault="00A105D4" w:rsidP="00A43535">
      <w:pPr>
        <w:spacing w:line="240" w:lineRule="auto"/>
        <w:rPr>
          <w:rFonts w:eastAsia="Calibri" w:cs="Calibri"/>
          <w:lang w:val="nl"/>
        </w:rPr>
      </w:pPr>
      <w:r>
        <w:rPr>
          <w:lang w:val="nl"/>
        </w:rPr>
        <w:t xml:space="preserve">Verder zal dit dossier ook worden aangemeld bij de Europese Unie overeenkomstig artikel 25 van verordening (EG) nr. 702/2014 </w:t>
      </w:r>
      <w:r>
        <w:rPr>
          <w:rFonts w:ascii="Cambria" w:hAnsi="Cambria" w:cs="Cambria"/>
          <w:lang w:val="nl"/>
        </w:rPr>
        <w:t> </w:t>
      </w:r>
      <w:r>
        <w:rPr>
          <w:bCs/>
          <w:lang w:val="nl"/>
        </w:rPr>
        <w:t>van de Commissie van 25 juni 2014 waarbij bepaalde categorieën steun in de landbouw- en de bosbouwsector en in plattelandsgebieden op grond van de artikelen</w:t>
      </w:r>
      <w:r>
        <w:rPr>
          <w:rFonts w:ascii="Cambria" w:hAnsi="Cambria" w:cs="Cambria"/>
          <w:bCs/>
          <w:lang w:val="nl"/>
        </w:rPr>
        <w:t> </w:t>
      </w:r>
      <w:r>
        <w:rPr>
          <w:bCs/>
          <w:lang w:val="nl"/>
        </w:rPr>
        <w:t xml:space="preserve">107 en </w:t>
      </w:r>
      <w:r w:rsidRPr="00A105D4">
        <w:rPr>
          <w:bCs/>
          <w:lang w:val="nl"/>
        </w:rPr>
        <w:t xml:space="preserve">108 van het Verdrag betreffende </w:t>
      </w:r>
      <w:r w:rsidRPr="00A105D4">
        <w:rPr>
          <w:lang w:val="nl"/>
        </w:rPr>
        <w:t>de werking van de Europese Unie met de interne markt verenigbaar worden verklaard.</w:t>
      </w:r>
    </w:p>
    <w:p w:rsidR="00D472DF" w:rsidRPr="00A43535" w:rsidRDefault="00D472DF" w:rsidP="00A43535">
      <w:pPr>
        <w:spacing w:line="240" w:lineRule="auto"/>
        <w:rPr>
          <w:rFonts w:eastAsia="Calibri" w:cs="Calibri"/>
          <w:lang w:val="nl"/>
        </w:rPr>
      </w:pPr>
    </w:p>
    <w:p w:rsidR="00D472DF" w:rsidRPr="00A43535" w:rsidRDefault="00D472DF" w:rsidP="00A43535">
      <w:pPr>
        <w:spacing w:line="240" w:lineRule="auto"/>
        <w:rPr>
          <w:rFonts w:eastAsia="Calibri" w:cs="Calibri"/>
          <w:lang w:val="nl"/>
        </w:rPr>
      </w:pPr>
      <w:r w:rsidRPr="00A43535">
        <w:rPr>
          <w:rFonts w:eastAsia="Calibri" w:cs="Calibri"/>
          <w:lang w:val="nl"/>
        </w:rPr>
        <w:br w:type="page"/>
      </w:r>
    </w:p>
    <w:p w:rsidR="00D472DF" w:rsidRDefault="00D472DF" w:rsidP="00A43535">
      <w:pPr>
        <w:spacing w:line="240" w:lineRule="auto"/>
        <w:rPr>
          <w:u w:val="single"/>
        </w:rPr>
      </w:pPr>
      <w:r w:rsidRPr="00A43535">
        <w:rPr>
          <w:u w:val="single"/>
        </w:rPr>
        <w:lastRenderedPageBreak/>
        <w:t>Bijlage 1</w:t>
      </w:r>
    </w:p>
    <w:tbl>
      <w:tblPr>
        <w:tblW w:w="4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</w:tblGrid>
      <w:tr w:rsidR="00C4643D" w:rsidRPr="00C4643D" w:rsidTr="00C4643D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3D" w:rsidRPr="00C4643D" w:rsidRDefault="00C4643D">
            <w:pPr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21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13"/>
            </w:tblGrid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>
                  <w:pPr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Aalst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Aalter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Affligem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Alken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Alveringem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Anzegem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Ardooie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Asse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Assenede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Avelgem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Beernem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Beersel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Bertem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Bever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Bilzen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Blankenberge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Bocholt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Boechout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Bonheiden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Boom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Borgloon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Bornem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Boutersem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Brakel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Bredene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Brugge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Buggenhout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Damme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De Haan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De Panne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De Pinte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Deerlijk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Deinze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Denderleeuw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Dendermonde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Dentergem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Diepenbeek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Diksmuide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Dilbeek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Drogenbos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Duffel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Edegem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Eeklo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lastRenderedPageBreak/>
                    <w:t>Erpe-Mere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Evergem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Galmaarden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Gavere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Genk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Gent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Geraardsbergen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Gingelom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Gistel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Glabbeek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Gooik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Grimbergen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Haaltert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Halle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Hamme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Hamont-Achel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Harelbeke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Hasselt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Heers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Herent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Herne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Herzele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Heuvelland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Hoegaarden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Hoeilaart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Hoeselt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Hooglede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Horebeke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Houthulst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Hove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Huldenberg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Ieper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Ingelmunster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Izegem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Kapelle-op-den-Bos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Kaprijke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Kluisbergen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Knesselare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Knokke-Heist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Koksijde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Kontich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Kortemark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Kortenaken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Kortessem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Kortrijk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Kruishoutem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lastRenderedPageBreak/>
                    <w:t>Kuurne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Lanaken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Landen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Langemark-Poelkapelle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Lebbeke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Lede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Ledegem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Lendelede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Lennik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Leuven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Lichtervelde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Liedekerke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Lier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Lierde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Linkebeek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Lint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Linter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Londerzeel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Lo-Reninge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Lovendegem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Maarkedal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Maldegem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Mechelen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Meise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Menen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Merchtem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Merelbeke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Mesen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Meulebeke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Middelkerke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Moorslede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Nazareth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Neerpelt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Nevele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Niel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Nieuwpoort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Ninove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Oostende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Oosterzele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Oostkamp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Oostrozebeke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Opwijk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Oudenaarde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Oudenburg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Oud-Heverlee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lastRenderedPageBreak/>
                    <w:t>Overijse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Pepingen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Pittem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Poperinge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Puurs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Riemst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Roeselare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Ronse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Roosdaal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Ruiselede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Rumst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Sint-Amands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Sint-Genesius-Rode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Sint-Katelijne-Waver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Sint-Laureins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Sint-Lievens-Houtem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Sint-Martens-Latem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Sint-Niklaas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Sint-Pieters-Leeuw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Sint-Truiden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Spiere-Helkijn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Staden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Temse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Ternat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Tervuren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Tielt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Tienen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Tongeren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Torhout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Veurne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Vleteren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Voeren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Waarschoot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Waasmunster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Waregem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Wellen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Wemmel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Wervik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Wetteren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Wevelgem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Wielsbeke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Willebroek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Wingene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Wortegem-Petegem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Zedelgem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Zele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lastRenderedPageBreak/>
                    <w:t>Zemst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Zingem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Zomergem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Zonhoven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Zonnebeke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Zottegem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Zoutleeuw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Zuienkerke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Zulte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Zutendaal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Zwalm</w:t>
                  </w:r>
                </w:p>
              </w:tc>
            </w:tr>
            <w:tr w:rsidR="00FE4FE2" w:rsidRPr="00FE4FE2" w:rsidTr="00FE4FE2">
              <w:trPr>
                <w:trHeight w:val="300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FE2" w:rsidRPr="00FE4FE2" w:rsidRDefault="00FE4FE2" w:rsidP="00FE4F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</w:pPr>
                  <w:r w:rsidRPr="00FE4FE2">
                    <w:rPr>
                      <w:rFonts w:ascii="Calibri" w:eastAsia="Times New Roman" w:hAnsi="Calibri" w:cs="Times New Roman"/>
                      <w:color w:val="000000"/>
                      <w:lang w:val="nl-BE" w:eastAsia="nl-BE"/>
                    </w:rPr>
                    <w:t>Zwevegem</w:t>
                  </w:r>
                </w:p>
              </w:tc>
            </w:tr>
          </w:tbl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  <w:tr w:rsidR="00C4643D" w:rsidRPr="00C4643D" w:rsidTr="00FE4FE2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43D" w:rsidRPr="00C4643D" w:rsidRDefault="00C4643D" w:rsidP="00C4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</w:p>
        </w:tc>
      </w:tr>
    </w:tbl>
    <w:p w:rsidR="00C4643D" w:rsidRDefault="00C4643D" w:rsidP="00A43535">
      <w:pPr>
        <w:spacing w:line="240" w:lineRule="auto"/>
        <w:rPr>
          <w:u w:val="single"/>
        </w:rPr>
      </w:pPr>
    </w:p>
    <w:sectPr w:rsidR="00C46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EC1"/>
    <w:multiLevelType w:val="hybridMultilevel"/>
    <w:tmpl w:val="E8405FF8"/>
    <w:lvl w:ilvl="0" w:tplc="72604650">
      <w:start w:val="128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A2B8F"/>
    <w:multiLevelType w:val="hybridMultilevel"/>
    <w:tmpl w:val="FF6A205E"/>
    <w:lvl w:ilvl="0" w:tplc="AAB0B43C">
      <w:start w:val="1"/>
      <w:numFmt w:val="bullet"/>
      <w:lvlText w:val="-"/>
      <w:lvlJc w:val="left"/>
      <w:pPr>
        <w:ind w:left="720" w:hanging="360"/>
      </w:pPr>
      <w:rPr>
        <w:rFonts w:ascii="FlandersArtSans-Light" w:eastAsia="Calibri" w:hAnsi="FlandersArtSans-Light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348B6"/>
    <w:multiLevelType w:val="hybridMultilevel"/>
    <w:tmpl w:val="3F785CCA"/>
    <w:lvl w:ilvl="0" w:tplc="88C68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94539"/>
    <w:multiLevelType w:val="hybridMultilevel"/>
    <w:tmpl w:val="C1AA35B6"/>
    <w:lvl w:ilvl="0" w:tplc="04D60250">
      <w:start w:val="1"/>
      <w:numFmt w:val="decimal"/>
      <w:lvlText w:val="%1."/>
      <w:lvlJc w:val="left"/>
      <w:pPr>
        <w:ind w:left="720" w:hanging="360"/>
      </w:pPr>
    </w:lvl>
    <w:lvl w:ilvl="1" w:tplc="365009E6">
      <w:start w:val="1"/>
      <w:numFmt w:val="lowerLetter"/>
      <w:lvlText w:val="%2."/>
      <w:lvlJc w:val="left"/>
      <w:pPr>
        <w:ind w:left="1440" w:hanging="360"/>
      </w:pPr>
    </w:lvl>
    <w:lvl w:ilvl="2" w:tplc="30964280">
      <w:start w:val="1"/>
      <w:numFmt w:val="lowerRoman"/>
      <w:lvlText w:val="%3."/>
      <w:lvlJc w:val="right"/>
      <w:pPr>
        <w:ind w:left="2160" w:hanging="180"/>
      </w:pPr>
    </w:lvl>
    <w:lvl w:ilvl="3" w:tplc="B0E49DFC">
      <w:start w:val="1"/>
      <w:numFmt w:val="decimal"/>
      <w:lvlText w:val="%4."/>
      <w:lvlJc w:val="left"/>
      <w:pPr>
        <w:ind w:left="2880" w:hanging="360"/>
      </w:pPr>
    </w:lvl>
    <w:lvl w:ilvl="4" w:tplc="6EAE8C4A">
      <w:start w:val="1"/>
      <w:numFmt w:val="lowerLetter"/>
      <w:lvlText w:val="%5."/>
      <w:lvlJc w:val="left"/>
      <w:pPr>
        <w:ind w:left="3600" w:hanging="360"/>
      </w:pPr>
    </w:lvl>
    <w:lvl w:ilvl="5" w:tplc="7152D9E2">
      <w:start w:val="1"/>
      <w:numFmt w:val="lowerRoman"/>
      <w:lvlText w:val="%6."/>
      <w:lvlJc w:val="right"/>
      <w:pPr>
        <w:ind w:left="4320" w:hanging="180"/>
      </w:pPr>
    </w:lvl>
    <w:lvl w:ilvl="6" w:tplc="709ED738">
      <w:start w:val="1"/>
      <w:numFmt w:val="decimal"/>
      <w:lvlText w:val="%7."/>
      <w:lvlJc w:val="left"/>
      <w:pPr>
        <w:ind w:left="5040" w:hanging="360"/>
      </w:pPr>
    </w:lvl>
    <w:lvl w:ilvl="7" w:tplc="0518BE04">
      <w:start w:val="1"/>
      <w:numFmt w:val="lowerLetter"/>
      <w:lvlText w:val="%8."/>
      <w:lvlJc w:val="left"/>
      <w:pPr>
        <w:ind w:left="5760" w:hanging="360"/>
      </w:pPr>
    </w:lvl>
    <w:lvl w:ilvl="8" w:tplc="4B7423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B45E2"/>
    <w:multiLevelType w:val="hybridMultilevel"/>
    <w:tmpl w:val="5CC0A3A8"/>
    <w:lvl w:ilvl="0" w:tplc="C576E5A4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B0306"/>
    <w:multiLevelType w:val="hybridMultilevel"/>
    <w:tmpl w:val="3DFA34DA"/>
    <w:lvl w:ilvl="0" w:tplc="A5BA7A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34E9A"/>
    <w:rsid w:val="00091253"/>
    <w:rsid w:val="000D6C47"/>
    <w:rsid w:val="00160571"/>
    <w:rsid w:val="001E7692"/>
    <w:rsid w:val="00242D43"/>
    <w:rsid w:val="002D0038"/>
    <w:rsid w:val="00315D6A"/>
    <w:rsid w:val="003335E1"/>
    <w:rsid w:val="00394C6F"/>
    <w:rsid w:val="0042007A"/>
    <w:rsid w:val="004341D7"/>
    <w:rsid w:val="00436151"/>
    <w:rsid w:val="00467A45"/>
    <w:rsid w:val="004969AE"/>
    <w:rsid w:val="004A562F"/>
    <w:rsid w:val="004D7950"/>
    <w:rsid w:val="004F3A34"/>
    <w:rsid w:val="005A6758"/>
    <w:rsid w:val="005E0BE5"/>
    <w:rsid w:val="00632693"/>
    <w:rsid w:val="00655830"/>
    <w:rsid w:val="007025DC"/>
    <w:rsid w:val="00725E3F"/>
    <w:rsid w:val="007818C2"/>
    <w:rsid w:val="00793A8E"/>
    <w:rsid w:val="007A6BB2"/>
    <w:rsid w:val="008056FB"/>
    <w:rsid w:val="008E522F"/>
    <w:rsid w:val="008F631E"/>
    <w:rsid w:val="0098430C"/>
    <w:rsid w:val="009A6848"/>
    <w:rsid w:val="009B1609"/>
    <w:rsid w:val="009E1FB2"/>
    <w:rsid w:val="00A105D4"/>
    <w:rsid w:val="00A43535"/>
    <w:rsid w:val="00AA4C44"/>
    <w:rsid w:val="00AD3971"/>
    <w:rsid w:val="00AE253C"/>
    <w:rsid w:val="00B25474"/>
    <w:rsid w:val="00B67EEF"/>
    <w:rsid w:val="00B70E5B"/>
    <w:rsid w:val="00B77202"/>
    <w:rsid w:val="00BE3507"/>
    <w:rsid w:val="00C4643D"/>
    <w:rsid w:val="00C86A5C"/>
    <w:rsid w:val="00C943BE"/>
    <w:rsid w:val="00CA7A13"/>
    <w:rsid w:val="00D472DF"/>
    <w:rsid w:val="00D50D15"/>
    <w:rsid w:val="00D81569"/>
    <w:rsid w:val="00DC31AF"/>
    <w:rsid w:val="00E669B3"/>
    <w:rsid w:val="00E7752A"/>
    <w:rsid w:val="00E91C5C"/>
    <w:rsid w:val="00EC598A"/>
    <w:rsid w:val="00ED03BD"/>
    <w:rsid w:val="00ED22E9"/>
    <w:rsid w:val="00EF4BA4"/>
    <w:rsid w:val="00F07AAE"/>
    <w:rsid w:val="00F20EE2"/>
    <w:rsid w:val="00F21A9A"/>
    <w:rsid w:val="00F30D47"/>
    <w:rsid w:val="00FA69E1"/>
    <w:rsid w:val="00FA7B69"/>
    <w:rsid w:val="00FE4FE2"/>
    <w:rsid w:val="4943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06A5F-8C34-4825-903F-31945414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4C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AA4C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D47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E25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253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253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25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253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25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4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A10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A574A2127014DB11FD2C31B459F94" ma:contentTypeVersion="0" ma:contentTypeDescription="Een nieuw document maken." ma:contentTypeScope="" ma:versionID="73d973e15efdfc1ba03a3996d53315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0A53D-CBF1-4488-A64A-C478D2BBE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6645E3-D538-433F-AAA0-E78BCF02B7C7}"/>
</file>

<file path=customXml/itemProps3.xml><?xml version="1.0" encoding="utf-8"?>
<ds:datastoreItem xmlns:ds="http://schemas.openxmlformats.org/officeDocument/2006/customXml" ds:itemID="{567F7767-2A27-436B-B7E5-E1662A1EDC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Agentschap voor Landbouw en Visserij (ALV)</Company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Magnus</dc:creator>
  <cp:lastModifiedBy>VAN WAES, Lieven</cp:lastModifiedBy>
  <cp:revision>4</cp:revision>
  <dcterms:created xsi:type="dcterms:W3CDTF">2017-09-18T09:29:00Z</dcterms:created>
  <dcterms:modified xsi:type="dcterms:W3CDTF">2017-09-19T08:18:00Z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0x010100381A574A2127014DB11FD2C31B459F94</vt:lpwstr>
  </property>
  <property fmtid="{D5CDD505-2E9C-101B-9397-08002B2CF9AE}" pid="3" name="_dlc_DocIdItemGuid">
    <vt:lpwstr>62b97ffb-2fff-4fe9-9641-8d5b6112bb43</vt:lpwstr>
  </property>
</Properties>
</file>